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9E" w:rsidRPr="0043479E" w:rsidRDefault="006E1441" w:rsidP="0043479E">
      <w:pPr>
        <w:jc w:val="both"/>
        <w:rPr>
          <w:rFonts w:eastAsia="Calibri"/>
          <w:b/>
          <w:bCs/>
          <w:color w:val="7030A0"/>
          <w:sz w:val="26"/>
          <w:szCs w:val="26"/>
          <w:u w:val="single"/>
          <w:lang w:eastAsia="en-US"/>
        </w:rPr>
      </w:pPr>
      <w:r w:rsidRPr="007C368D">
        <w:rPr>
          <w:color w:val="000000"/>
          <w:sz w:val="20"/>
          <w:szCs w:val="20"/>
        </w:rPr>
        <w:t xml:space="preserve"> </w:t>
      </w:r>
      <w:r w:rsidR="0043479E" w:rsidRPr="0043479E">
        <w:rPr>
          <w:rFonts w:eastAsia="Calibri"/>
          <w:b/>
          <w:bCs/>
          <w:color w:val="7030A0"/>
          <w:sz w:val="26"/>
          <w:szCs w:val="26"/>
          <w:u w:val="single"/>
          <w:lang w:eastAsia="en-US"/>
        </w:rPr>
        <w:t>Правительство РФ внесло в Госдуму законопроект о независимости аудиторов</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8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Кабмин предлагает установить как общее требование о независимости аудиторов, так и основы разработки правил о ней. Под независимостью аудиторов и аудиторских организаций предполагается понимать отсутствие имущественной, родственной или другой зависимости от аудируемого лица, его учредителей (участников, акционеров), руководителей и других должностных лиц.</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Правила такой независимости будут представлять собой документ, содержащий:</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основные требования к ней, в том числе к выявлению обстоятельств, создающих угрозу независимости аудиторской организации, аудитора, рисков возникновения такой угрозы;</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меры по ее предотвращению, устранению либо снижению уровня этой угрозы.</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Их предполагается разработать на основании кодекса этики профессиональных бухгалтеров, принимаемого Международной федерацией бухгалтеров.</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Предлагается установить, кто в рамках действия Федерального закона от 30 декабря 2008 года № 307-ФЗ "Об аудиторской деятельности" будет пониматься под контролирующими и подконтрольными лицами. </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8" w:anchor="ixzz5TwV15Tnc" w:history="1">
        <w:r w:rsidRPr="0043479E">
          <w:rPr>
            <w:rFonts w:eastAsia="Calibri"/>
            <w:color w:val="0000FF"/>
            <w:sz w:val="26"/>
            <w:szCs w:val="26"/>
            <w:u w:val="single"/>
            <w:lang w:eastAsia="en-US"/>
          </w:rPr>
          <w:t>http://www.garant.ru/news/1222425/#ixzz5TwV15Tnc</w:t>
        </w:r>
      </w:hyperlink>
    </w:p>
    <w:p w:rsidR="0043479E" w:rsidRPr="0043479E" w:rsidRDefault="0043479E" w:rsidP="0043479E">
      <w:pPr>
        <w:jc w:val="both"/>
        <w:rPr>
          <w:rFonts w:ascii="Calibri" w:eastAsia="Calibri" w:hAnsi="Calibri" w:cs="Calibri"/>
          <w:sz w:val="22"/>
          <w:szCs w:val="22"/>
          <w:lang w:eastAsia="en-US"/>
        </w:rPr>
      </w:pPr>
    </w:p>
    <w:p w:rsidR="0043479E" w:rsidRPr="0043479E" w:rsidRDefault="0043479E" w:rsidP="0043479E">
      <w:pPr>
        <w:jc w:val="both"/>
        <w:rPr>
          <w:rFonts w:eastAsia="Calibri"/>
          <w:b/>
          <w:bCs/>
          <w:color w:val="7030A0"/>
          <w:sz w:val="26"/>
          <w:szCs w:val="26"/>
          <w:u w:val="single"/>
          <w:lang w:eastAsia="en-US"/>
        </w:rPr>
      </w:pPr>
      <w:r w:rsidRPr="0043479E">
        <w:rPr>
          <w:rFonts w:eastAsia="Calibri"/>
          <w:b/>
          <w:bCs/>
          <w:color w:val="7030A0"/>
          <w:sz w:val="26"/>
          <w:szCs w:val="26"/>
          <w:u w:val="single"/>
          <w:lang w:eastAsia="en-US"/>
        </w:rPr>
        <w:t>Известить организацию о составлении протокола об административном правонарушении могут и через простого работника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8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Верховный Суд Российской Федерации подтвердил законность такого способа извещения юридического лица о дате, времени и месте составления протокола об административном правонарушении, как вручение уведомления работнику этой организации (не законному представителю, и даже не ответственному за прием корреспонденции) (Определение ВС РФ от 17 сентября 2018 г. № 303-АД18-14637).</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Обстоятельства дела: работник (юрист) организации – правонарушителя получил от Роспотребнадзора уведомление о дате и времени оформления протокола в тот момент, когда присутствовал в ведомстве по совершенно иному вопросу. При этом обстоятельства вручения этого извещения и не отрицались Роспотребнадзором. Юрист, со своей стороны, был уверен, что за этим вручением должно последовать второе, уже в адрес самого юридического лица, и поэтому даже не обмолвился о первом уведомлении руководителю организации. Второго извещения, однако, не последовало, и тот же самый юрист, в конечном итоге, и присутствовал на составлении протокола в Роспотребнадзоре, правда, на основании общей доверенности на представление интересов предприятия без указания на полномочия по участию в конкретном административном деле.</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Суд первой инстанции указал, что уведомлять надо было саму организацию, а не представителя по общей доверенности, а раз Роспотребнадзор не может доказать, что этот представитель известил своего доверителя, то, следовательно, вовсе никакого надлежащего извещения не было, и процедура привлечения к административной ответственности была нарушена.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Однако суд апелляционной инстанции пришел к противоположному выводу:</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нормы законодательства не содержат требований к направлению извещения лицу, привлекаемому к административной ответственности, исключительно какими-либо определенными способами. В частности, КоАП не предусматривает императивно вручение извещения лично законному представителю юридического лица;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значит, извещение юридического лица через работника такого юридического лица не нарушает требований закона;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в данном деле уведомление было вручено работнику предприятия, что удостоверено его подписью, следовательно, организация была надлежащим образом извещена;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lastRenderedPageBreak/>
        <w:t>отсутствие у юриста доверенности на представление интересов предприятия по конкретному делу в данном случае правового значения не имеет.</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ВС РФ, рассмотрев кассационную жалобу предприятия, нарушения норм материального и процессуального права не усмотрел и в передаче для рассмотрения в Судебную коллегию по экономическим спорам ВС РФ отказал.</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9" w:anchor="ixzz5U5l9FbZL" w:history="1">
        <w:r w:rsidRPr="0043479E">
          <w:rPr>
            <w:rFonts w:eastAsia="Calibri"/>
            <w:color w:val="0000FF"/>
            <w:sz w:val="26"/>
            <w:szCs w:val="26"/>
            <w:u w:val="single"/>
            <w:lang w:eastAsia="en-US"/>
          </w:rPr>
          <w:t>http://www.garant.ru/news/1222551/#ixzz5U5l9FbZL</w:t>
        </w:r>
      </w:hyperlink>
    </w:p>
    <w:p w:rsidR="0043479E" w:rsidRPr="0043479E" w:rsidRDefault="0043479E" w:rsidP="0043479E">
      <w:pPr>
        <w:jc w:val="both"/>
        <w:rPr>
          <w:rFonts w:ascii="Calibri" w:eastAsia="Calibri" w:hAnsi="Calibri" w:cs="Calibri"/>
          <w:sz w:val="22"/>
          <w:szCs w:val="22"/>
          <w:lang w:eastAsia="en-US"/>
        </w:rPr>
      </w:pPr>
    </w:p>
    <w:p w:rsidR="0043479E" w:rsidRPr="0043479E" w:rsidRDefault="0043479E" w:rsidP="0043479E">
      <w:pPr>
        <w:jc w:val="both"/>
        <w:rPr>
          <w:rFonts w:eastAsia="Calibri"/>
          <w:b/>
          <w:bCs/>
          <w:color w:val="7030A0"/>
          <w:sz w:val="26"/>
          <w:szCs w:val="26"/>
          <w:u w:val="single"/>
          <w:lang w:eastAsia="en-US"/>
        </w:rPr>
      </w:pPr>
      <w:r w:rsidRPr="0043479E">
        <w:rPr>
          <w:rFonts w:eastAsia="Calibri"/>
          <w:b/>
          <w:bCs/>
          <w:color w:val="7030A0"/>
          <w:sz w:val="26"/>
          <w:szCs w:val="26"/>
          <w:u w:val="single"/>
          <w:lang w:eastAsia="en-US"/>
        </w:rPr>
        <w:t>Возможно, налогоплательщики на УСН будут освобождены от представления декларации</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8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Минфин России планирует отменить обязанность по предоставлению налоговой декларации для налогоплательщиков, которые применяют УСН с объектом налогообложения "доходы" и используют в расчетах ККТ, обеспечивающую передачу фискальных данных в налоговые органы в онлайн-режиме. Соответствующая информация содержится в "Основных направлениях бюджетной, налоговой и таможенно-тарифной политики на 2019 год и на плановый период 2020 и 2021 годов". Таким образом, данное освобождение может коснуться ИП и юрлиц (п. 1 ст. 346.12 Налогового кодекса).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10" w:anchor="ixzz5U5kXvQbo" w:history="1">
        <w:r w:rsidRPr="0043479E">
          <w:rPr>
            <w:rFonts w:eastAsia="Calibri"/>
            <w:color w:val="0000FF"/>
            <w:sz w:val="26"/>
            <w:szCs w:val="26"/>
            <w:u w:val="single"/>
            <w:lang w:eastAsia="en-US"/>
          </w:rPr>
          <w:t>http://www.garant.ru/news/1222571/#ixzz5U5kXvQbo</w:t>
        </w:r>
      </w:hyperlink>
    </w:p>
    <w:p w:rsidR="0043479E" w:rsidRPr="0043479E" w:rsidRDefault="0043479E" w:rsidP="0043479E">
      <w:pPr>
        <w:jc w:val="both"/>
        <w:rPr>
          <w:rFonts w:ascii="Calibri" w:eastAsia="Calibri" w:hAnsi="Calibri" w:cs="Calibri"/>
          <w:sz w:val="22"/>
          <w:szCs w:val="22"/>
          <w:lang w:eastAsia="en-US"/>
        </w:rPr>
      </w:pPr>
    </w:p>
    <w:p w:rsidR="0043479E" w:rsidRPr="0043479E" w:rsidRDefault="0043479E" w:rsidP="0043479E">
      <w:pPr>
        <w:jc w:val="both"/>
        <w:rPr>
          <w:rFonts w:eastAsia="Calibri"/>
          <w:b/>
          <w:bCs/>
          <w:color w:val="7030A0"/>
          <w:sz w:val="26"/>
          <w:szCs w:val="26"/>
          <w:u w:val="single"/>
          <w:lang w:eastAsia="en-US"/>
        </w:rPr>
      </w:pPr>
      <w:r w:rsidRPr="0043479E">
        <w:rPr>
          <w:rFonts w:eastAsia="Calibri"/>
          <w:b/>
          <w:bCs/>
          <w:color w:val="7030A0"/>
          <w:sz w:val="26"/>
          <w:szCs w:val="26"/>
          <w:u w:val="single"/>
          <w:lang w:eastAsia="en-US"/>
        </w:rPr>
        <w:t>Особые условия замены административного штрафа на предупреждение предлагают распространить на всех предпринимателей</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9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Минэкономразвития России считает необходимым принять меры по смягчению административной ответственности для всех юрлиц и ИП, если правонарушение совершено впервые и не повлекло материального ущерба. Для этого разработанным министерством законопроектом планируется распространять правила о замене административного штрафа на предупреждение на всех предпринимателей, не ограничиваясь МСП, как в настоящий момент (ч. 1 ст. 4.1.1 КоАП).</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Предполагается принять положение, согласно которому дела об административных правонарушениях в отношении ИП, юрлиц, а также их работников в определенных случаях будут возбуждаться только после завершения проверки, контрольной закупки или контрольного мероприятия без взаимодействия с предпринимателями. В частности, если поводами к возбуждению таких дел станут основания, указывающие на нарушение лицом требований законодательства, в отношении которых осуществляется государственный или муниципальный контроль. Речь идет о:</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поступивших из правоохранительных органов, а также из других государственных органов, органов местного самоуправления, общественных объединений материалов, содержащих данные, указывающие на наличие события административного правонарушения;</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сообщениях и заявлениях физических и юридических лиц, а также сообщениях в СМИ, содержащих данные, по общему правилу, указывающие на наличие события административного правонарушения (п. 2-3 ч. 1 ст. 28.1 КоАП РФ).</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В случае принятия закон вступит в силу со дня официального опубликования, за исключением нового правила о внесении в единый реестр проверок информации об административном расследовании и его результатах, оно может начать действовать с 1 января 2020 года.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Публичное обсуждение и независимая антикоррупционная экспертиза инициативы завершатся 22 октября.</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11" w:anchor="ixzz5U5icsoly" w:history="1">
        <w:r w:rsidRPr="0043479E">
          <w:rPr>
            <w:rFonts w:eastAsia="Calibri"/>
            <w:color w:val="0000FF"/>
            <w:sz w:val="26"/>
            <w:szCs w:val="26"/>
            <w:u w:val="single"/>
            <w:lang w:eastAsia="en-US"/>
          </w:rPr>
          <w:t>http://www.garant.ru/news/1222603/#ixzz5U5icsoly</w:t>
        </w:r>
      </w:hyperlink>
    </w:p>
    <w:p w:rsidR="0043479E" w:rsidRPr="0043479E" w:rsidRDefault="0043479E" w:rsidP="0043479E">
      <w:pPr>
        <w:jc w:val="both"/>
        <w:rPr>
          <w:rFonts w:eastAsia="Calibri"/>
          <w:sz w:val="26"/>
          <w:szCs w:val="26"/>
          <w:lang w:eastAsia="en-US"/>
        </w:rPr>
      </w:pPr>
    </w:p>
    <w:p w:rsidR="0043479E" w:rsidRPr="0043479E" w:rsidRDefault="0043479E" w:rsidP="0043479E">
      <w:pPr>
        <w:jc w:val="both"/>
        <w:rPr>
          <w:rFonts w:eastAsia="Calibri"/>
          <w:b/>
          <w:bCs/>
          <w:color w:val="7030A0"/>
          <w:sz w:val="26"/>
          <w:szCs w:val="26"/>
          <w:u w:val="single"/>
          <w:lang w:eastAsia="en-US"/>
        </w:rPr>
      </w:pPr>
      <w:r w:rsidRPr="0043479E">
        <w:rPr>
          <w:rFonts w:eastAsia="Calibri"/>
          <w:b/>
          <w:bCs/>
          <w:color w:val="7030A0"/>
          <w:sz w:val="26"/>
          <w:szCs w:val="26"/>
          <w:u w:val="single"/>
          <w:lang w:eastAsia="en-US"/>
        </w:rPr>
        <w:t>В России может появиться услуга платного выездного приема заявлений о госрегистрации недвижимости</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lastRenderedPageBreak/>
        <w:t>10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Зконопроектом планируется сделать возможной подачу заявления об осуществлении государственного кадастрового учета и (или) государственной регистрации прав и прилагаемых к нему документов посредством выездного приема на платной основе. В настоящее время Законом о регистрации это не предусмотрено. При этом предполагается, что для ряда льготных категорий граждан он будет бесплатным: </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для ветеранов и инвалидов ВОВ;</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для инвалидов детства;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для инвалидов I и II групп при предъявлении ими соответствующих документов. </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Для этих граждан может стать возможной бесплатная курьерская доставка готовых документов о регистрации прав или кадастровом учете.</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Предлагается четко разграничить полномочия Росреестра и ФГБУ "ФКП Росреестра" при непосредственном оказании государственных услуг. Планируется, что осуществлять полномочия по предоставлению всех сведений, содержащихся в ЕГРН, будет ФГБУ "ФКП Росреестра", так как сейчас за учреждением такое полномочие закреплено лишь частично. В результате ФГБУ "ФКП Росреестра" станет единственным субъектом, предоставляющим данный вид госуслуги, что в итоге, как ожидают авторы инициативы, упростит и упорядочит эту процедуру.</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12" w:anchor="ixzz5TwfXfjPk" w:history="1">
        <w:r w:rsidRPr="0043479E">
          <w:rPr>
            <w:rFonts w:eastAsia="Calibri"/>
            <w:color w:val="0000FF"/>
            <w:sz w:val="26"/>
            <w:szCs w:val="26"/>
            <w:u w:val="single"/>
            <w:lang w:eastAsia="en-US"/>
          </w:rPr>
          <w:t>http://www.garant.ru/news/1223058/#ixzz5TwfXfjPk</w:t>
        </w:r>
      </w:hyperlink>
    </w:p>
    <w:p w:rsidR="0043479E" w:rsidRPr="0043479E" w:rsidRDefault="0043479E" w:rsidP="0043479E">
      <w:pPr>
        <w:jc w:val="both"/>
        <w:rPr>
          <w:rFonts w:eastAsia="Calibri"/>
          <w:sz w:val="26"/>
          <w:szCs w:val="26"/>
          <w:lang w:eastAsia="en-US"/>
        </w:rPr>
      </w:pPr>
    </w:p>
    <w:p w:rsidR="0043479E" w:rsidRPr="0043479E" w:rsidRDefault="0043479E" w:rsidP="0043479E">
      <w:pPr>
        <w:jc w:val="both"/>
        <w:rPr>
          <w:rFonts w:eastAsia="Calibri"/>
          <w:b/>
          <w:bCs/>
          <w:color w:val="7030A0"/>
          <w:sz w:val="26"/>
          <w:szCs w:val="26"/>
          <w:u w:val="single"/>
          <w:lang w:eastAsia="en-US"/>
        </w:rPr>
      </w:pPr>
      <w:r w:rsidRPr="0043479E">
        <w:rPr>
          <w:rFonts w:eastAsia="Calibri"/>
          <w:b/>
          <w:bCs/>
          <w:color w:val="7030A0"/>
          <w:sz w:val="26"/>
          <w:szCs w:val="26"/>
          <w:u w:val="single"/>
          <w:lang w:eastAsia="en-US"/>
        </w:rPr>
        <w:t>В России может появиться услуга платного выездного приема заявлений о госрегистрации недвижимости</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10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Предложенным ими законопроектом планируется сделать возможной подачу заявления об осуществлении государственного кадастрового учета и (или) государственной регистрации прав и прилагаемых к нему документов посредством выездного приема на платной основе1. В настоящее время Законом о регистрации это не предусмотрено. При этом предполагается, что для ряда льготных категорий граждан он будет бесплатным: </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для ветеранов и инвалидов ВОВ;</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для инвалидов детства;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для инвалидов I и II групп при предъявлении ими соответствующих документов. </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Кроме того, для этих граждан может стать возможной бесплатная курьерская доставка готовых документов о регистрации прав или кадастровом учете.</w:t>
      </w:r>
    </w:p>
    <w:p w:rsidR="0043479E" w:rsidRPr="0043479E" w:rsidRDefault="0043479E" w:rsidP="0043479E">
      <w:pPr>
        <w:jc w:val="both"/>
        <w:rPr>
          <w:rFonts w:eastAsia="Calibri"/>
          <w:sz w:val="26"/>
          <w:szCs w:val="26"/>
          <w:lang w:eastAsia="en-US"/>
        </w:rPr>
      </w:pP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Обязательно ли при передаче недвижимого имущества по договору дарения подписание акта-приема передачи? Ответ можно узнать из материала "Дарение недвижимого имущества" в "Энциклопедии решений. Договоры и иные сделки" интернет-версии системы ГАРАНТ. Получите полный доступ на 3 дня бесплатно!</w:t>
      </w:r>
    </w:p>
    <w:p w:rsidR="0043479E" w:rsidRPr="0043479E" w:rsidRDefault="0043479E" w:rsidP="0043479E">
      <w:pPr>
        <w:jc w:val="both"/>
        <w:rPr>
          <w:rFonts w:eastAsia="Calibri"/>
          <w:sz w:val="26"/>
          <w:szCs w:val="26"/>
          <w:lang w:eastAsia="en-US"/>
        </w:rPr>
      </w:pP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Также документом предлагается четко разграничить полномочия Росреестра и ФГБУ "ФКП Росреестра" при непосредственном оказании государственных услуг. В частности, планируется, что осуществлять полномочия по предоставлению всех сведений, содержащихся в ЕГРН, будет ФГБУ "ФКП Росреестра", так как сейчас за учреждением такое полномочие закреплено лишь частично. В результате ФГБУ "ФКП Росреестра" станет единственным субъектом, предоставляющим данный вид госуслуги, что в итоге, как ожидают авторы инициативы, упростит и упорядочит эту процедуру.</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13" w:anchor="ixzz5TwfXfjPk" w:history="1">
        <w:r w:rsidRPr="0043479E">
          <w:rPr>
            <w:rFonts w:eastAsia="Calibri"/>
            <w:color w:val="0000FF"/>
            <w:sz w:val="26"/>
            <w:szCs w:val="26"/>
            <w:u w:val="single"/>
            <w:lang w:eastAsia="en-US"/>
          </w:rPr>
          <w:t>http://www.garant.ru/news/1223058/#ixzz5TwfXfjPk</w:t>
        </w:r>
      </w:hyperlink>
    </w:p>
    <w:p w:rsidR="0043479E" w:rsidRPr="0043479E" w:rsidRDefault="0043479E" w:rsidP="0043479E">
      <w:pPr>
        <w:jc w:val="both"/>
        <w:rPr>
          <w:rFonts w:eastAsia="Calibri"/>
          <w:sz w:val="26"/>
          <w:szCs w:val="26"/>
          <w:lang w:eastAsia="en-US"/>
        </w:rPr>
      </w:pPr>
    </w:p>
    <w:p w:rsidR="0043479E" w:rsidRPr="0043479E" w:rsidRDefault="0043479E" w:rsidP="0043479E">
      <w:pPr>
        <w:jc w:val="both"/>
        <w:rPr>
          <w:rFonts w:eastAsia="Calibri"/>
          <w:sz w:val="26"/>
          <w:szCs w:val="26"/>
          <w:lang w:eastAsia="en-US"/>
        </w:rPr>
      </w:pPr>
    </w:p>
    <w:p w:rsidR="0043479E" w:rsidRPr="0043479E" w:rsidRDefault="0043479E" w:rsidP="0043479E">
      <w:pPr>
        <w:jc w:val="both"/>
        <w:rPr>
          <w:rFonts w:eastAsia="Calibri"/>
          <w:b/>
          <w:bCs/>
          <w:color w:val="7030A0"/>
          <w:sz w:val="26"/>
          <w:szCs w:val="26"/>
          <w:u w:val="single"/>
          <w:lang w:eastAsia="en-US"/>
        </w:rPr>
      </w:pPr>
      <w:r w:rsidRPr="0043479E">
        <w:rPr>
          <w:rFonts w:eastAsia="Calibri"/>
          <w:b/>
          <w:bCs/>
          <w:color w:val="7030A0"/>
          <w:sz w:val="26"/>
          <w:szCs w:val="26"/>
          <w:u w:val="single"/>
          <w:lang w:eastAsia="en-US"/>
        </w:rPr>
        <w:t>Ужесточены требования к лицам, проводящим антикоррупционную экспертизу НПА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11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lastRenderedPageBreak/>
        <w:t>Сегодня подписан федеральный закон, которым ряд граждан исключен из числа возможных экспертов НПА или их проектов. В частности, речь идет о лицах:</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с неснятой или непогашенной судимостью,</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внесенных в реестр лиц, уволенных в связи с утратой доверия;</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замещающих государственные или муниципальные должности или должности государственной или муниципальной службы (Федеральный закон от 11 октября 2018 г. № 362-ФЗ "О внесении изменений в статью 5 Федерального закона "Об антикоррупционной экспертизе нормативных правовых актов и проектов нормативных правовых актов").</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Также экспертизу НПА и их проектов не смогут проводить международные и иностранные организации, а также НКО, выполняющие функции иностранного агента. </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Документ вступит в силу 22 октября. </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14" w:anchor="ixzz5TwaDm59C" w:history="1">
        <w:r w:rsidRPr="0043479E">
          <w:rPr>
            <w:rFonts w:eastAsia="Calibri"/>
            <w:color w:val="0000FF"/>
            <w:sz w:val="26"/>
            <w:szCs w:val="26"/>
            <w:u w:val="single"/>
            <w:lang w:eastAsia="en-US"/>
          </w:rPr>
          <w:t>http://www.garant.ru/news/1223208/#ixzz5TwaDm59C</w:t>
        </w:r>
      </w:hyperlink>
    </w:p>
    <w:p w:rsidR="0043479E" w:rsidRPr="0043479E" w:rsidRDefault="0043479E" w:rsidP="0043479E">
      <w:pPr>
        <w:jc w:val="both"/>
        <w:rPr>
          <w:rFonts w:eastAsia="Calibri"/>
          <w:sz w:val="26"/>
          <w:szCs w:val="26"/>
          <w:lang w:eastAsia="en-US"/>
        </w:rPr>
      </w:pPr>
    </w:p>
    <w:p w:rsidR="0043479E" w:rsidRPr="0043479E" w:rsidRDefault="0043479E" w:rsidP="0043479E">
      <w:pPr>
        <w:jc w:val="both"/>
        <w:rPr>
          <w:rFonts w:eastAsia="Calibri"/>
          <w:b/>
          <w:bCs/>
          <w:color w:val="7030A0"/>
          <w:sz w:val="26"/>
          <w:szCs w:val="26"/>
          <w:u w:val="single"/>
          <w:lang w:eastAsia="en-US"/>
        </w:rPr>
      </w:pPr>
      <w:r w:rsidRPr="0043479E">
        <w:rPr>
          <w:rFonts w:eastAsia="Calibri"/>
          <w:b/>
          <w:bCs/>
          <w:color w:val="7030A0"/>
          <w:sz w:val="26"/>
          <w:szCs w:val="26"/>
          <w:u w:val="single"/>
          <w:lang w:eastAsia="en-US"/>
        </w:rPr>
        <w:t>16 октября вступят в силу положения Закона о рынке ценных бумаг о структурных облигациях</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11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16 октября 2018 года вступят в силу поправки в Федеральный закон от 22 апреля 1996 г. № 39-ФЗ "О рынке ценных бумаг" (далее – Закон о рынке ценных бумаг), дополнившие его положениями о новом виде облигаций – структурных облигациях (Федеральный закон от 18 апреля 2018 г. № 75-ФЗ "О внесении изменений в Федеральный закон "О рынке ценных бумаг" в части регулирования структурных облигаций").</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Структурные облигации – это облигации, предусматривающие право их владельца на получение выплат по ним в зависимости от наступления или ненаступления одного или нескольких обстоятельств, предусмотренных в п. 1 ч. 29 ст. 2 Закона о рынке ценных бумаг. Сведения об этих обстоятельствах должны быть зафиксированы в решении о выпуске структурных облигаций (с обязательным указанием числовых значений/параметров, условий или порядка их определения либо указанием на то, что они будут установлены уполномоченным органом эмитента до начала размещения облигаций).</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В решении об их выпуске обязательно должен быть указан размер выплат по структурной облигации или порядок его определения (либо указание на то, что они могут быть установлены уполномоченным органом эмитента до начала размещения структурных облигаций).</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Размер выплат по структурной облигации может быть меньше ее номинальной стоимости.</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Эмитентами структурных облигаций могут быть лишь кредитные организации, брокеры, дилеры, а также специализированные финансовые общества, которые в соответствии с целями и предметом их деятельности вправе эмитировать структурные облигации. При этом брокеры, дилеры и специализированные финансовые общества вправе размещать только структурные облигации, обеспеченные залогом денежных требований и (или) иного имущества. Для кредитных организаций такого ограничения не установлено.</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Предусмотрено, что структурные облигации предназначены для квалифицированных инвесторов. Вместе с тем Банк России вправе установить критерии, при соответствии которым структурные облигации могут предлагаться и лицам, не являющимся квалифицированными инвесторами (отметим, что на данный момент такие критерии не установлены).</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При этом для физлиц, которые не являются квалифицированными инвесторами или ИП и приобретут размещаемые структурные облигации, предназначенные для неограниченного круга лиц, предусмотрен так называемый "период охлаждения". Они вправе будут в течение 10 рабочих дней с даты заключения договора, на основании </w:t>
      </w:r>
      <w:r w:rsidRPr="0043479E">
        <w:rPr>
          <w:rFonts w:eastAsia="Calibri"/>
          <w:sz w:val="26"/>
          <w:szCs w:val="26"/>
          <w:lang w:eastAsia="en-US"/>
        </w:rPr>
        <w:lastRenderedPageBreak/>
        <w:t>которого размещаются указанные облигации, расторгнуть его в одностороннем порядке и потребовать возврата внесенных в оплату структурных облигаций денежных средств. В этом случае эмитент обязан будет вернуть денежные средства в течение 7 рабочих дней с даты получения уведомления о расторжении договора.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Структурная облигация не может предусматривать право на ее досрочное погашение по усмотрению ее эмитента (за исключением не зависящих от воли эмитента случаев, предусмотренных решением о выпуске структурных облигаций).</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Выплаты по структурной облигации могут осуществляться денежными средствами и (или) иным имуществом.</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Государственную регистрацию выпусков структурных облигаций будет осуществлять Банк России.</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15" w:anchor="ixzz5TwdC2tqJ" w:history="1">
        <w:r w:rsidRPr="0043479E">
          <w:rPr>
            <w:rFonts w:eastAsia="Calibri"/>
            <w:color w:val="0000FF"/>
            <w:sz w:val="26"/>
            <w:szCs w:val="26"/>
            <w:u w:val="single"/>
            <w:lang w:eastAsia="en-US"/>
          </w:rPr>
          <w:t>http://www.garant.ru/news/1223122/#ixzz5TwdC2tqJ</w:t>
        </w:r>
      </w:hyperlink>
    </w:p>
    <w:p w:rsidR="0043479E" w:rsidRPr="0043479E" w:rsidRDefault="0043479E" w:rsidP="0043479E">
      <w:pPr>
        <w:jc w:val="both"/>
        <w:rPr>
          <w:rFonts w:eastAsia="Calibri"/>
          <w:sz w:val="26"/>
          <w:szCs w:val="26"/>
          <w:lang w:eastAsia="en-US"/>
        </w:rPr>
      </w:pPr>
    </w:p>
    <w:p w:rsidR="0043479E" w:rsidRPr="0043479E" w:rsidRDefault="0043479E" w:rsidP="0043479E">
      <w:pPr>
        <w:jc w:val="both"/>
        <w:rPr>
          <w:rFonts w:eastAsia="Calibri"/>
          <w:b/>
          <w:bCs/>
          <w:color w:val="7030A0"/>
          <w:sz w:val="26"/>
          <w:szCs w:val="26"/>
          <w:u w:val="single"/>
          <w:lang w:eastAsia="en-US"/>
        </w:rPr>
      </w:pPr>
      <w:r w:rsidRPr="0043479E">
        <w:rPr>
          <w:rFonts w:eastAsia="Calibri"/>
          <w:b/>
          <w:bCs/>
          <w:color w:val="7030A0"/>
          <w:sz w:val="26"/>
          <w:szCs w:val="26"/>
          <w:u w:val="single"/>
          <w:lang w:eastAsia="en-US"/>
        </w:rPr>
        <w:t>Разъяснено, когда инспекция вправе привлекать к ответственности за нарушение применения ККТ юрлицо, не состоящее у нее на учете</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12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Налоговая инспекция вправе проводить проверку юрлица, состоящего на учете в другом налоговом органе, рассматривать дело об административном правонарушении и составлять соответствующий протокол, если вышестоящий налоговый орган предоставил ей право проводить проверку применения ККТ (определение Верховного Суда Российской Федерации от 1 октября 2018 г. № 305-АД18-9558).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Одна из Межрайонных ИФНС России по г. Москве провела по поручению вышестоящего налогового органа проверку применения ККТ юрлицом. В ходе проверки налоговая инспекция выявила нарушения. В проверяемом периоде организация не применяла ККТ при оплате части заказов, в связи с чем налогоплательщика оштрафовали на основании ч. 2 ст. 14.5 КоАП РФ. Для юрлиц штраф может составить от 75% до 100% суммы расчета, которая осуществлялась без ККТ, но не менее 30 тыс. руб.</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Проверяемое юрлицо не согласилось с налоговиками и обратилась в суд. Налогоплательщик указал на то, что данная инспекция была не вправе рассматривать дело и штрафовать организацию, так как юрлицо состоит на учете в другой налоговой инспекции. Суд апелляционной инстанции встал на сторону юрлица, так как посчитал, что нарушение было совершено на территории, подведомственной другой налоговой инспекции.</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Но ВС РФ согласился с судом первой инстанции в том, что инспекция при проведении проверки действовала в рамках полномочий в соответствии с положением, которое утвердило Управление ФНС России по г. Москве. В положении инспекции, которая проводила проверку, не прописано, что ее полномочия по контролю и надзору за соблюдением требований к ККТ, а также за полнотой учета выручки ограничены той или иной территорией столицы. Таким образом, сделан вывод, что Управление вправе делегировать нижестоящему налоговому органу полномочия по проведению контрольных мероприятий на всей территории города.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Налоговая инспекция была вправе проводить проверку юрлица, рассматривать дело об административном правонарушении и составлять соответствующий протокол. В результате рассмотрения дела ВС РФ оставил в силе решение суда первой инстанции, а постановление суда апелляционной инстанции отменил.</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16" w:anchor="ixzz5U5looBzE" w:history="1">
        <w:r w:rsidRPr="0043479E">
          <w:rPr>
            <w:rFonts w:eastAsia="Calibri"/>
            <w:color w:val="0000FF"/>
            <w:sz w:val="26"/>
            <w:szCs w:val="26"/>
            <w:u w:val="single"/>
            <w:lang w:eastAsia="en-US"/>
          </w:rPr>
          <w:t>http://www.garant.ru/news/1223342/#ixzz5U5looBzE</w:t>
        </w:r>
      </w:hyperlink>
    </w:p>
    <w:p w:rsidR="0043479E" w:rsidRPr="0043479E" w:rsidRDefault="0043479E" w:rsidP="0043479E">
      <w:pPr>
        <w:jc w:val="both"/>
        <w:rPr>
          <w:rFonts w:eastAsia="Calibri"/>
          <w:sz w:val="26"/>
          <w:szCs w:val="26"/>
          <w:lang w:eastAsia="en-US"/>
        </w:rPr>
      </w:pPr>
    </w:p>
    <w:p w:rsidR="0043479E" w:rsidRPr="0043479E" w:rsidRDefault="0043479E" w:rsidP="0043479E">
      <w:pPr>
        <w:jc w:val="both"/>
        <w:rPr>
          <w:rFonts w:eastAsia="Calibri"/>
          <w:b/>
          <w:bCs/>
          <w:color w:val="7030A0"/>
          <w:sz w:val="26"/>
          <w:szCs w:val="26"/>
          <w:u w:val="single"/>
          <w:lang w:eastAsia="en-US"/>
        </w:rPr>
      </w:pPr>
      <w:r w:rsidRPr="0043479E">
        <w:rPr>
          <w:rFonts w:eastAsia="Calibri"/>
          <w:b/>
          <w:bCs/>
          <w:color w:val="7030A0"/>
          <w:sz w:val="26"/>
          <w:szCs w:val="26"/>
          <w:u w:val="single"/>
          <w:lang w:eastAsia="en-US"/>
        </w:rPr>
        <w:t>Подготовлены типовые условия контрактов на разработку программного обеспечения: проект</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12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Минкомсвязь России в соответствии с ч. 11 ст. 34 Федерального закона от 5 апреля 2013 г. № 44-ФЗ "О контрактной системе в сфере закупок товаров, работ, услуг для </w:t>
      </w:r>
      <w:r w:rsidRPr="0043479E">
        <w:rPr>
          <w:rFonts w:eastAsia="Calibri"/>
          <w:sz w:val="26"/>
          <w:szCs w:val="26"/>
          <w:lang w:eastAsia="en-US"/>
        </w:rPr>
        <w:lastRenderedPageBreak/>
        <w:t>обеспечения государственных и муниципальных нужд" и п. 2 Правил разработки типовых условий контрактов представила проект ведомственного приказа "Об утверждении типовых условий контрактов на выполнение работ по созданию (развитию) программ для электронных вычислительных машин и программной документации к ним".</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В частности, в соответствии с документом предполагается утвердить:</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типовые условия контрактов на выполнение работ по созданию (развитию) программ для ЭВМ и программной документации к ним;</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информационную карту типового контракта, типовых условий контрактов.</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Типовые условия состоят из постоянной части, не подлежащей изменению в конкретной закупке и переменной части, предусматривающей выбор условий при их применении в закупке.</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В постоянную часть типовых условий включены в том числе условия об обязанностях исполнителя и условия о его правах. Так, в контракте предлагается предусмотреть:</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обязанность исполнителя уведомлять заказчика о каждом полученном при выполнении контракта результате интеллектуальной деятельности;</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гарантии исполнителя о том, что использование результатов работ заказчиком не будет нарушать права и законные интересы третьих лиц;</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право исполнителя по согласованию с заказчиком выполнить работы,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обязанность исполнителя своевременно информировать заказчика о ходе работ, в том числе о сложностях, возникающих при исполнении контракта, а также к установленному сроку предоставить заказчику результаты выполнения работы;</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право исполнителя привлекать соисполнителей к проведению работ.</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17" w:anchor="ixzz5U5mdaISO" w:history="1">
        <w:r w:rsidRPr="0043479E">
          <w:rPr>
            <w:rFonts w:eastAsia="Calibri"/>
            <w:color w:val="0000FF"/>
            <w:sz w:val="26"/>
            <w:szCs w:val="26"/>
            <w:u w:val="single"/>
            <w:lang w:eastAsia="en-US"/>
          </w:rPr>
          <w:t>http://www.garant.ru/news/1223343/#ixzz5U5mdaISO</w:t>
        </w:r>
      </w:hyperlink>
    </w:p>
    <w:p w:rsidR="0043479E" w:rsidRPr="0043479E" w:rsidRDefault="0043479E" w:rsidP="0043479E">
      <w:pPr>
        <w:jc w:val="both"/>
        <w:rPr>
          <w:rFonts w:eastAsia="Calibri"/>
          <w:sz w:val="26"/>
          <w:szCs w:val="26"/>
          <w:lang w:eastAsia="en-US"/>
        </w:rPr>
      </w:pPr>
    </w:p>
    <w:p w:rsidR="0043479E" w:rsidRPr="0043479E" w:rsidRDefault="0043479E" w:rsidP="0043479E">
      <w:pPr>
        <w:jc w:val="both"/>
        <w:rPr>
          <w:rFonts w:eastAsia="Calibri"/>
          <w:b/>
          <w:bCs/>
          <w:color w:val="7030A0"/>
          <w:sz w:val="26"/>
          <w:szCs w:val="26"/>
          <w:u w:val="single"/>
          <w:lang w:eastAsia="en-US"/>
        </w:rPr>
      </w:pPr>
      <w:r w:rsidRPr="0043479E">
        <w:rPr>
          <w:rFonts w:eastAsia="Calibri"/>
          <w:b/>
          <w:bCs/>
          <w:color w:val="7030A0"/>
          <w:sz w:val="26"/>
          <w:szCs w:val="26"/>
          <w:u w:val="single"/>
          <w:lang w:eastAsia="en-US"/>
        </w:rPr>
        <w:t>С 20 октября водители-нарушители смогут получить права назад только после уплаты всех штрафов</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12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Правительство РФ приняло решение ужесточить Правила возврата водительского удостоверения после утраты оснований прекращения действия права на управление транспортными средствами (далее – Правила). Возврат водительских прав водителям-нарушителям будет возможен только при наличии в Государственной информационной системе о государственных и муниципальных платежах (ГИС ГМП) информации об уплате наложенных на него административных штрафов за правонарушения в области дорожного движения либо подтверждающих документов.</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При этом отдельным категориям водителей нужно будет предварительно пройти медицинское освидетельствование на наличие медицинских противопоказаний к управлению транспортным средством. Речь идет о гражданах, наказанных ранее за: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управление транспортным средством в состоянии опьянения (ч. 1 ст. 12.8 КоАП);</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невыполнение законного требования уполномоченного должностного лица о прохождении медицинского освидетельствования на состояние опьянения (ч. 1 ст. 12.26 КоАП РФ);</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невыполнение требования ПДД о запрете водителю употреблять алкогольные напитки, наркотические или психотропные вещества после ДТП,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такого освидетельствования (ч. 3 ст. 12.27 КоАП РФ).</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lastRenderedPageBreak/>
        <w:t>В настоящий момент для возврата водительских прав водителю достаточно пройти проверку знания им ПДД в подразделении Госавтоинспекции (п. 2 Правил) без предъявления паспорта или другого документа, удостоверяющего личность, однако поправками к Правилам такое требование установлено.</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Водительское удостоверение будет возвращаться лицу, лишенному права на управление, в подразделении Госавтоинспекции по месту исполнения постановления суда по делу об административном правонарушении в день обращения (постановление Правительства Российской Федерации от 10 октября 2018 г. № 1210 "О внесении изменений в Правила возврата водительского удостоверения после утраты оснований прекращения действия права на управление транспортными средствами"). В настоящий момент возможность получения удостоверения в день обращения не предусмотрена.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Документ вступит в силу 20 октября.</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18" w:anchor="ixzz5TwlIVAXR" w:history="1">
        <w:r w:rsidRPr="0043479E">
          <w:rPr>
            <w:rFonts w:eastAsia="Calibri"/>
            <w:color w:val="0000FF"/>
            <w:sz w:val="26"/>
            <w:szCs w:val="26"/>
            <w:u w:val="single"/>
            <w:lang w:eastAsia="en-US"/>
          </w:rPr>
          <w:t>http://www.garant.ru/news/1223369/#ixzz5TwlIVAXR</w:t>
        </w:r>
      </w:hyperlink>
    </w:p>
    <w:p w:rsidR="0043479E" w:rsidRPr="0043479E" w:rsidRDefault="0043479E" w:rsidP="0043479E">
      <w:pPr>
        <w:jc w:val="both"/>
        <w:rPr>
          <w:rFonts w:eastAsia="Calibri"/>
          <w:sz w:val="26"/>
          <w:szCs w:val="26"/>
          <w:lang w:eastAsia="en-US"/>
        </w:rPr>
      </w:pPr>
    </w:p>
    <w:p w:rsidR="0043479E" w:rsidRPr="0043479E" w:rsidRDefault="0043479E" w:rsidP="0043479E">
      <w:pPr>
        <w:jc w:val="both"/>
        <w:rPr>
          <w:rFonts w:eastAsia="Calibri"/>
          <w:b/>
          <w:bCs/>
          <w:color w:val="7030A0"/>
          <w:sz w:val="26"/>
          <w:szCs w:val="26"/>
          <w:u w:val="single"/>
          <w:lang w:eastAsia="en-US"/>
        </w:rPr>
      </w:pPr>
      <w:r w:rsidRPr="0043479E">
        <w:rPr>
          <w:rFonts w:eastAsia="Calibri"/>
          <w:b/>
          <w:bCs/>
          <w:color w:val="7030A0"/>
          <w:sz w:val="26"/>
          <w:szCs w:val="26"/>
          <w:u w:val="single"/>
          <w:lang w:eastAsia="en-US"/>
        </w:rPr>
        <w:t>Освобождение от уплаты госпошлины за удостоверение сделок по отчуждению подлежащей сносу недвижимости теперь распространяется на всех граждан</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12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Президент РФ Владимир Путин подписал закон, освобождающий от уплаты государственной пошлины физлиц за удостоверение сделок по отчуждению недвижимого имущества, расположенного в аварийном и подлежащем сносу доме, если такие сделки подлежат обязательному нотариальному удостоверению в соответствии с законодательством РФ (Федеральный закон от 11 октября 2018 г. № 359-ФЗ "О внесении изменения в статью 333.38 части второй Налогового кодекса Российской Федерации"). Соответствующие поправки внесены в п. 16 ст. 333.38 Налогового кодекса и уже вступили в силу 11 октября. Теперь указанное освобождение от уплаты госпошлины действует в отношении всех граждан, у которых в собственности есть недвижимость в аварийном и подлежащем сносу доме. Кроме того, оно распространяется на абсолютно все виды сделок по отчуждению.</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В связи с принятием данного закона, вышеупомянутое освобождение будет распространяться не только на продажу недвижимого имущества, как предусматривалось в предыдущей редакции НК РФ.</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По мнению инициаторов принятого закона, его положения поспособствуют решению проблемы аварийного жилищного фонда.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19" w:anchor="ixzz5U5aiHqbr" w:history="1">
        <w:r w:rsidRPr="0043479E">
          <w:rPr>
            <w:rFonts w:eastAsia="Calibri"/>
            <w:color w:val="0000FF"/>
            <w:sz w:val="26"/>
            <w:szCs w:val="26"/>
            <w:u w:val="single"/>
            <w:lang w:eastAsia="en-US"/>
          </w:rPr>
          <w:t>http://www.garant.ru/news/1223222/#ixzz5U5aiHqbr</w:t>
        </w:r>
      </w:hyperlink>
    </w:p>
    <w:p w:rsidR="0043479E" w:rsidRPr="0043479E" w:rsidRDefault="0043479E" w:rsidP="0043479E">
      <w:pPr>
        <w:jc w:val="both"/>
        <w:rPr>
          <w:rFonts w:eastAsia="Calibri"/>
          <w:sz w:val="26"/>
          <w:szCs w:val="26"/>
          <w:lang w:eastAsia="en-US"/>
        </w:rPr>
      </w:pPr>
    </w:p>
    <w:p w:rsidR="0043479E" w:rsidRPr="0043479E" w:rsidRDefault="0043479E" w:rsidP="0043479E">
      <w:pPr>
        <w:jc w:val="both"/>
        <w:rPr>
          <w:rFonts w:eastAsia="Calibri"/>
          <w:b/>
          <w:bCs/>
          <w:color w:val="7030A0"/>
          <w:sz w:val="26"/>
          <w:szCs w:val="26"/>
          <w:u w:val="single"/>
          <w:lang w:eastAsia="en-US"/>
        </w:rPr>
      </w:pPr>
      <w:r w:rsidRPr="0043479E">
        <w:rPr>
          <w:rFonts w:eastAsia="Calibri"/>
          <w:b/>
          <w:bCs/>
          <w:color w:val="7030A0"/>
          <w:sz w:val="26"/>
          <w:szCs w:val="26"/>
          <w:u w:val="single"/>
          <w:lang w:eastAsia="en-US"/>
        </w:rPr>
        <w:t>Временная регистрация иностранцев в нежилых помещениях на основании заведомо ложных сведений станет фиктивной</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12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С 22 октября таковой будет считаться постановка иностранного гражданина или лица без гражданства на учет по месту пребывания в нежилом помещении без их намерения фактически проживать там, а также намерения принимающей стороны предоставить им это помещение для фактического проживания. Также фиктивной станут признавать постановку иностранца или лица без гражданства на такой учет по адресу организации, в которой они не работают или не осуществляют другую не запрещенную законом деятельность (Федеральный закон от 11 октября 2018 г. № 366-ФЗ "О внесении изменений в статьи 2 и 23 Федерального закона "О миграционном учете иностранных граждан и лиц без гражданства в Российской Федерации").</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Отметим, что 16 октября состоится второе чтение законопроекта о введении уголовной ответственности за фиктивную постановку иностранцев на учет по месту пребывания в нежилых помещениях, аналогично существующей в отношении постановки на учет в жилых помещениях (ст. 322.3 Уголовного кодекса).</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Другим подписанным законом для иностранцев и лиц без гражданства с 22 октября будут установлены новые основания для запрета на въезд в нашу страну: </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lastRenderedPageBreak/>
        <w:t>участие в деятельности организации, причастной к экстремизму или терроризму;</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приостановление операций по банковским счетам на основании судебного решения, вступившего в силу;</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блокировка денежных средств или другого имущества Межведомственной комиссией по противодействию финансированию терроризма  (Федеральный закон от 11 октября 2018 г. № 365-ФЗ "О внесении изменения в статью 26 Федерального закона "О порядке выезда из Российской Федерации и въезда в Российскую Федерацию").</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В Госдуму был внесен законопроект о введении уголовной ответственности за посредничество в незаконном получении мигрантами документов для въезда в Россию, а со 2 октября для получения российского гражданства нужна справка о доходах за предшествующий год на территории страны.</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20" w:anchor="ixzz5TwZBm5RG" w:history="1">
        <w:r w:rsidRPr="0043479E">
          <w:rPr>
            <w:rFonts w:eastAsia="Calibri"/>
            <w:color w:val="0000FF"/>
            <w:sz w:val="26"/>
            <w:szCs w:val="26"/>
            <w:u w:val="single"/>
            <w:lang w:eastAsia="en-US"/>
          </w:rPr>
          <w:t>http://www.garant.ru/news/1223364/#ixzz5TwZBm5RG</w:t>
        </w:r>
      </w:hyperlink>
    </w:p>
    <w:p w:rsidR="0043479E" w:rsidRPr="0043479E" w:rsidRDefault="0043479E" w:rsidP="0043479E">
      <w:pPr>
        <w:jc w:val="both"/>
        <w:rPr>
          <w:rFonts w:ascii="Calibri" w:eastAsia="Calibri" w:hAnsi="Calibri" w:cs="Calibri"/>
          <w:sz w:val="22"/>
          <w:szCs w:val="22"/>
          <w:lang w:eastAsia="en-US"/>
        </w:rPr>
      </w:pPr>
    </w:p>
    <w:p w:rsidR="0043479E" w:rsidRPr="0043479E" w:rsidRDefault="0043479E" w:rsidP="0043479E">
      <w:pPr>
        <w:jc w:val="both"/>
        <w:rPr>
          <w:rFonts w:eastAsia="Calibri"/>
          <w:b/>
          <w:bCs/>
          <w:color w:val="7030A0"/>
          <w:sz w:val="26"/>
          <w:szCs w:val="26"/>
          <w:u w:val="single"/>
          <w:lang w:eastAsia="en-US"/>
        </w:rPr>
      </w:pPr>
      <w:r w:rsidRPr="0043479E">
        <w:rPr>
          <w:rFonts w:eastAsia="Calibri"/>
          <w:b/>
          <w:bCs/>
          <w:color w:val="7030A0"/>
          <w:sz w:val="26"/>
          <w:szCs w:val="26"/>
          <w:u w:val="single"/>
          <w:lang w:eastAsia="en-US"/>
        </w:rPr>
        <w:t>Минфин России продолжает разработку межведомственного порядка предоставления сведений из ЕГРЮЛ и ЕГРИП</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12 октября 2018</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1 марта 2018 года утратил силу приказ Минфина России от 18 февраля 2015 года № 25н (далее – Приказ № 25н), которым в том числе был предусмотрен порядок предоставления содержащихся в ЕГРЮЛ или ЕГРИП сведений и документов органам госвласти, иным госорганам, органам государственных внебюджетных фондов, органам местного самоуправления и судам.</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Планировалось, что к указанной дате такой порядок будет установлен отдельным документом, в связи с чем еще в 2017 году был разработан проект соответствующего ведомственного приказа. Однако до сих пор он так и не был утвержден.</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Минфин России разместил на Федеральном портале проектов нормативных правовых актов для общественного обсуждения и антикоррупционной экспертизы обновленный проект приказа, устанавливающего порядок, форму и сроки предоставления сведений и документов, содержащихся в ЕГРЮЛ и ЕГРИП, органам госвласти, иным госорганам, органам государственных внебюджетных фондов, органам местного самоуправления, Банку России, нотариусам.</w:t>
      </w:r>
    </w:p>
    <w:p w:rsidR="0043479E" w:rsidRPr="0043479E" w:rsidRDefault="0043479E" w:rsidP="0043479E">
      <w:pPr>
        <w:jc w:val="both"/>
        <w:rPr>
          <w:rFonts w:eastAsia="Calibri"/>
          <w:sz w:val="26"/>
          <w:szCs w:val="26"/>
          <w:lang w:eastAsia="en-US"/>
        </w:rPr>
      </w:pPr>
      <w:r w:rsidRPr="0043479E">
        <w:rPr>
          <w:rFonts w:eastAsia="Calibri"/>
          <w:sz w:val="26"/>
          <w:szCs w:val="26"/>
          <w:lang w:eastAsia="en-US"/>
        </w:rPr>
        <w:t xml:space="preserve">ГАРАНТ.РУ: </w:t>
      </w:r>
      <w:hyperlink r:id="rId21" w:anchor="ixzz5U5naOqM5" w:history="1">
        <w:r w:rsidRPr="0043479E">
          <w:rPr>
            <w:rFonts w:eastAsia="Calibri"/>
            <w:color w:val="0000FF"/>
            <w:sz w:val="26"/>
            <w:szCs w:val="26"/>
            <w:u w:val="single"/>
            <w:lang w:eastAsia="en-US"/>
          </w:rPr>
          <w:t>http://www.garant.ru/news/1223257/#ixzz5U5naOqM5</w:t>
        </w:r>
      </w:hyperlink>
    </w:p>
    <w:p w:rsidR="0043479E" w:rsidRPr="0043479E" w:rsidRDefault="0043479E" w:rsidP="0043479E">
      <w:pPr>
        <w:jc w:val="both"/>
        <w:rPr>
          <w:rFonts w:eastAsia="Calibri"/>
          <w:sz w:val="26"/>
          <w:szCs w:val="26"/>
          <w:lang w:eastAsia="en-US"/>
        </w:rPr>
      </w:pPr>
    </w:p>
    <w:p w:rsidR="0043479E" w:rsidRPr="0043479E" w:rsidRDefault="0043479E" w:rsidP="0043479E">
      <w:pPr>
        <w:jc w:val="both"/>
        <w:rPr>
          <w:rFonts w:eastAsia="Calibri"/>
          <w:sz w:val="26"/>
          <w:szCs w:val="26"/>
          <w:lang w:eastAsia="en-US"/>
        </w:rPr>
      </w:pPr>
    </w:p>
    <w:p w:rsidR="005D5E3C" w:rsidRPr="007C368D" w:rsidRDefault="005D5E3C" w:rsidP="00A03544">
      <w:pPr>
        <w:shd w:val="clear" w:color="auto" w:fill="FFFFFF"/>
        <w:spacing w:line="276" w:lineRule="auto"/>
        <w:jc w:val="both"/>
        <w:rPr>
          <w:color w:val="000000"/>
          <w:sz w:val="20"/>
          <w:szCs w:val="20"/>
        </w:rPr>
      </w:pPr>
      <w:bookmarkStart w:id="0" w:name="_GoBack"/>
      <w:bookmarkEnd w:id="0"/>
    </w:p>
    <w:sectPr w:rsidR="005D5E3C" w:rsidRPr="007C368D" w:rsidSect="00F02F64">
      <w:pgSz w:w="11906" w:h="16838"/>
      <w:pgMar w:top="540" w:right="1106" w:bottom="28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816" w:rsidRDefault="00B90816">
      <w:r>
        <w:separator/>
      </w:r>
    </w:p>
  </w:endnote>
  <w:endnote w:type="continuationSeparator" w:id="0">
    <w:p w:rsidR="00B90816" w:rsidRDefault="00B9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80"/>
    <w:family w:val="auto"/>
    <w:pitch w:val="variable"/>
  </w:font>
  <w:font w:name="Lohit Hindi">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816" w:rsidRDefault="00B90816">
      <w:r>
        <w:separator/>
      </w:r>
    </w:p>
  </w:footnote>
  <w:footnote w:type="continuationSeparator" w:id="0">
    <w:p w:rsidR="00B90816" w:rsidRDefault="00B90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00F"/>
    <w:multiLevelType w:val="hybridMultilevel"/>
    <w:tmpl w:val="D98C4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2304B"/>
    <w:multiLevelType w:val="hybridMultilevel"/>
    <w:tmpl w:val="22882AC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31AD6419"/>
    <w:multiLevelType w:val="multilevel"/>
    <w:tmpl w:val="C75E0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E4567"/>
    <w:multiLevelType w:val="hybridMultilevel"/>
    <w:tmpl w:val="6178C812"/>
    <w:lvl w:ilvl="0" w:tplc="04190009">
      <w:start w:val="1"/>
      <w:numFmt w:val="bullet"/>
      <w:lvlText w:val=""/>
      <w:lvlJc w:val="left"/>
      <w:pPr>
        <w:ind w:left="1200" w:hanging="360"/>
      </w:pPr>
      <w:rPr>
        <w:rFonts w:ascii="Wingdings" w:hAnsi="Wingdings" w:hint="default"/>
      </w:rPr>
    </w:lvl>
    <w:lvl w:ilvl="1" w:tplc="04190009">
      <w:start w:val="1"/>
      <w:numFmt w:val="bullet"/>
      <w:lvlText w:val=""/>
      <w:lvlJc w:val="left"/>
      <w:pPr>
        <w:ind w:left="1920" w:hanging="360"/>
      </w:pPr>
      <w:rPr>
        <w:rFonts w:ascii="Wingdings" w:hAnsi="Wingdings"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15:restartNumberingAfterBreak="0">
    <w:nsid w:val="47401E88"/>
    <w:multiLevelType w:val="hybridMultilevel"/>
    <w:tmpl w:val="51BC32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7B651B3"/>
    <w:multiLevelType w:val="multilevel"/>
    <w:tmpl w:val="000652FE"/>
    <w:lvl w:ilvl="0">
      <w:start w:val="1"/>
      <w:numFmt w:val="decimal"/>
      <w:lvlText w:val="%1."/>
      <w:lvlJc w:val="left"/>
      <w:pPr>
        <w:ind w:left="390" w:hanging="39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6" w15:restartNumberingAfterBreak="0">
    <w:nsid w:val="487B68FD"/>
    <w:multiLevelType w:val="hybridMultilevel"/>
    <w:tmpl w:val="09FECF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6BE085F"/>
    <w:multiLevelType w:val="multilevel"/>
    <w:tmpl w:val="B5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F14822"/>
    <w:multiLevelType w:val="multilevel"/>
    <w:tmpl w:val="FF76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A764D5"/>
    <w:multiLevelType w:val="multilevel"/>
    <w:tmpl w:val="0D72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779B5"/>
    <w:multiLevelType w:val="multilevel"/>
    <w:tmpl w:val="B488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1E59D2"/>
    <w:multiLevelType w:val="hybridMultilevel"/>
    <w:tmpl w:val="12AEE9E8"/>
    <w:lvl w:ilvl="0" w:tplc="D3586FBC">
      <w:start w:val="1"/>
      <w:numFmt w:val="decimal"/>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CDD04A8"/>
    <w:multiLevelType w:val="multilevel"/>
    <w:tmpl w:val="8A20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C7479D"/>
    <w:multiLevelType w:val="multilevel"/>
    <w:tmpl w:val="161C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lvlOverride w:ilvl="0">
      <w:startOverride w:val="2"/>
    </w:lvlOverride>
  </w:num>
  <w:num w:numId="6">
    <w:abstractNumId w:val="7"/>
    <w:lvlOverride w:ilvl="0">
      <w:startOverride w:val="3"/>
    </w:lvlOverride>
  </w:num>
  <w:num w:numId="7">
    <w:abstractNumId w:val="10"/>
    <w:lvlOverride w:ilvl="0">
      <w:startOverride w:val="4"/>
    </w:lvlOverride>
  </w:num>
  <w:num w:numId="8">
    <w:abstractNumId w:val="8"/>
    <w:lvlOverride w:ilvl="0">
      <w:startOverride w:val="5"/>
    </w:lvlOverride>
  </w:num>
  <w:num w:numId="9">
    <w:abstractNumId w:val="0"/>
  </w:num>
  <w:num w:numId="10">
    <w:abstractNumId w:val="9"/>
  </w:num>
  <w:num w:numId="11">
    <w:abstractNumId w:val="3"/>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2B"/>
    <w:rsid w:val="00000819"/>
    <w:rsid w:val="0001022F"/>
    <w:rsid w:val="000117B5"/>
    <w:rsid w:val="00020986"/>
    <w:rsid w:val="00020ABB"/>
    <w:rsid w:val="00020EAD"/>
    <w:rsid w:val="00021A6D"/>
    <w:rsid w:val="00022091"/>
    <w:rsid w:val="00022C9A"/>
    <w:rsid w:val="00025BC6"/>
    <w:rsid w:val="000319A6"/>
    <w:rsid w:val="000412A7"/>
    <w:rsid w:val="00044FD3"/>
    <w:rsid w:val="000452B9"/>
    <w:rsid w:val="00050B93"/>
    <w:rsid w:val="00054943"/>
    <w:rsid w:val="000557B5"/>
    <w:rsid w:val="00057AB4"/>
    <w:rsid w:val="00065000"/>
    <w:rsid w:val="000664CC"/>
    <w:rsid w:val="00070261"/>
    <w:rsid w:val="00070E7F"/>
    <w:rsid w:val="00070FC0"/>
    <w:rsid w:val="00074C30"/>
    <w:rsid w:val="00077665"/>
    <w:rsid w:val="00077718"/>
    <w:rsid w:val="000819F4"/>
    <w:rsid w:val="00081BEF"/>
    <w:rsid w:val="00085A8E"/>
    <w:rsid w:val="000906FA"/>
    <w:rsid w:val="00093470"/>
    <w:rsid w:val="00093509"/>
    <w:rsid w:val="000A049F"/>
    <w:rsid w:val="000A291C"/>
    <w:rsid w:val="000A3954"/>
    <w:rsid w:val="000A425C"/>
    <w:rsid w:val="000A6808"/>
    <w:rsid w:val="000A6F6A"/>
    <w:rsid w:val="000A73D3"/>
    <w:rsid w:val="000B0D3D"/>
    <w:rsid w:val="000B4D7E"/>
    <w:rsid w:val="000C5E6D"/>
    <w:rsid w:val="000C61FE"/>
    <w:rsid w:val="000D066D"/>
    <w:rsid w:val="000D1D3C"/>
    <w:rsid w:val="000D50E8"/>
    <w:rsid w:val="000D6BC0"/>
    <w:rsid w:val="000E4C7A"/>
    <w:rsid w:val="000F2F44"/>
    <w:rsid w:val="000F5F8D"/>
    <w:rsid w:val="000F63F0"/>
    <w:rsid w:val="000F76CA"/>
    <w:rsid w:val="000F7B88"/>
    <w:rsid w:val="00102606"/>
    <w:rsid w:val="001031B3"/>
    <w:rsid w:val="0010402E"/>
    <w:rsid w:val="001045D3"/>
    <w:rsid w:val="00104F65"/>
    <w:rsid w:val="001058EF"/>
    <w:rsid w:val="00107520"/>
    <w:rsid w:val="001153FA"/>
    <w:rsid w:val="00120546"/>
    <w:rsid w:val="001209D8"/>
    <w:rsid w:val="00122DF2"/>
    <w:rsid w:val="00123093"/>
    <w:rsid w:val="00123BF1"/>
    <w:rsid w:val="00131884"/>
    <w:rsid w:val="00135FF3"/>
    <w:rsid w:val="00146E43"/>
    <w:rsid w:val="00146F67"/>
    <w:rsid w:val="00155ACC"/>
    <w:rsid w:val="001602FC"/>
    <w:rsid w:val="00163886"/>
    <w:rsid w:val="0016567A"/>
    <w:rsid w:val="001670D0"/>
    <w:rsid w:val="001708D3"/>
    <w:rsid w:val="00170DD7"/>
    <w:rsid w:val="0017350B"/>
    <w:rsid w:val="0017556F"/>
    <w:rsid w:val="00180C1C"/>
    <w:rsid w:val="00182BD8"/>
    <w:rsid w:val="00183B9B"/>
    <w:rsid w:val="0019529E"/>
    <w:rsid w:val="001974CF"/>
    <w:rsid w:val="001A10FF"/>
    <w:rsid w:val="001A1E44"/>
    <w:rsid w:val="001A4FFF"/>
    <w:rsid w:val="001B7422"/>
    <w:rsid w:val="001C2071"/>
    <w:rsid w:val="001C65E6"/>
    <w:rsid w:val="001D175C"/>
    <w:rsid w:val="001D1959"/>
    <w:rsid w:val="001D40B2"/>
    <w:rsid w:val="001D455A"/>
    <w:rsid w:val="001D4616"/>
    <w:rsid w:val="001D573B"/>
    <w:rsid w:val="001E23C8"/>
    <w:rsid w:val="001E2ADE"/>
    <w:rsid w:val="001E37CA"/>
    <w:rsid w:val="001E7AAA"/>
    <w:rsid w:val="001F0161"/>
    <w:rsid w:val="001F0F0B"/>
    <w:rsid w:val="001F265C"/>
    <w:rsid w:val="001F27D2"/>
    <w:rsid w:val="001F36E3"/>
    <w:rsid w:val="001F4BE9"/>
    <w:rsid w:val="001F597F"/>
    <w:rsid w:val="001F6667"/>
    <w:rsid w:val="00201EFF"/>
    <w:rsid w:val="00205CBE"/>
    <w:rsid w:val="00212972"/>
    <w:rsid w:val="00215E40"/>
    <w:rsid w:val="002162AE"/>
    <w:rsid w:val="0022026B"/>
    <w:rsid w:val="00225910"/>
    <w:rsid w:val="002262D3"/>
    <w:rsid w:val="00226429"/>
    <w:rsid w:val="00227F32"/>
    <w:rsid w:val="00232A75"/>
    <w:rsid w:val="00234F20"/>
    <w:rsid w:val="0023502D"/>
    <w:rsid w:val="00236E13"/>
    <w:rsid w:val="00237BF5"/>
    <w:rsid w:val="002411FD"/>
    <w:rsid w:val="002415CF"/>
    <w:rsid w:val="00241F7E"/>
    <w:rsid w:val="00242EE1"/>
    <w:rsid w:val="002441ED"/>
    <w:rsid w:val="0025135B"/>
    <w:rsid w:val="00256259"/>
    <w:rsid w:val="00256DDB"/>
    <w:rsid w:val="00257C7E"/>
    <w:rsid w:val="002631D4"/>
    <w:rsid w:val="0026472A"/>
    <w:rsid w:val="00264BF5"/>
    <w:rsid w:val="00266E0D"/>
    <w:rsid w:val="00274E6E"/>
    <w:rsid w:val="002763B5"/>
    <w:rsid w:val="0028042C"/>
    <w:rsid w:val="00284D73"/>
    <w:rsid w:val="00286599"/>
    <w:rsid w:val="00287AEE"/>
    <w:rsid w:val="00290DAC"/>
    <w:rsid w:val="0029639A"/>
    <w:rsid w:val="002964F0"/>
    <w:rsid w:val="002974A3"/>
    <w:rsid w:val="002A61D4"/>
    <w:rsid w:val="002B0964"/>
    <w:rsid w:val="002C2F77"/>
    <w:rsid w:val="002C367C"/>
    <w:rsid w:val="002C47F4"/>
    <w:rsid w:val="002C61C6"/>
    <w:rsid w:val="002D2B97"/>
    <w:rsid w:val="002D607B"/>
    <w:rsid w:val="002E4A5A"/>
    <w:rsid w:val="002E4EE6"/>
    <w:rsid w:val="002E78EF"/>
    <w:rsid w:val="002F0F58"/>
    <w:rsid w:val="002F1A35"/>
    <w:rsid w:val="002F6693"/>
    <w:rsid w:val="00302825"/>
    <w:rsid w:val="003032C1"/>
    <w:rsid w:val="00312001"/>
    <w:rsid w:val="003175F8"/>
    <w:rsid w:val="00325189"/>
    <w:rsid w:val="003262E7"/>
    <w:rsid w:val="00326D4D"/>
    <w:rsid w:val="003409C1"/>
    <w:rsid w:val="00341988"/>
    <w:rsid w:val="00342518"/>
    <w:rsid w:val="00343A82"/>
    <w:rsid w:val="00346936"/>
    <w:rsid w:val="0035017C"/>
    <w:rsid w:val="00350211"/>
    <w:rsid w:val="00351AD9"/>
    <w:rsid w:val="00355785"/>
    <w:rsid w:val="00355BBE"/>
    <w:rsid w:val="00355E95"/>
    <w:rsid w:val="00360B9C"/>
    <w:rsid w:val="0036297E"/>
    <w:rsid w:val="003631D9"/>
    <w:rsid w:val="00363F46"/>
    <w:rsid w:val="0036567C"/>
    <w:rsid w:val="003672E7"/>
    <w:rsid w:val="00372EAB"/>
    <w:rsid w:val="00373343"/>
    <w:rsid w:val="003754F0"/>
    <w:rsid w:val="003773D8"/>
    <w:rsid w:val="0037755E"/>
    <w:rsid w:val="00384399"/>
    <w:rsid w:val="0039082A"/>
    <w:rsid w:val="00393DFD"/>
    <w:rsid w:val="003958FF"/>
    <w:rsid w:val="003A0E41"/>
    <w:rsid w:val="003A1669"/>
    <w:rsid w:val="003A31CE"/>
    <w:rsid w:val="003A3CCA"/>
    <w:rsid w:val="003A783B"/>
    <w:rsid w:val="003A7843"/>
    <w:rsid w:val="003B6040"/>
    <w:rsid w:val="003C0A1B"/>
    <w:rsid w:val="003E0C40"/>
    <w:rsid w:val="003E772F"/>
    <w:rsid w:val="003F13C4"/>
    <w:rsid w:val="003F2F26"/>
    <w:rsid w:val="003F30BB"/>
    <w:rsid w:val="00401252"/>
    <w:rsid w:val="00403FFC"/>
    <w:rsid w:val="00404192"/>
    <w:rsid w:val="00406423"/>
    <w:rsid w:val="0041123C"/>
    <w:rsid w:val="004113EA"/>
    <w:rsid w:val="00412F72"/>
    <w:rsid w:val="00413F5C"/>
    <w:rsid w:val="0041699A"/>
    <w:rsid w:val="00416F23"/>
    <w:rsid w:val="00425CE7"/>
    <w:rsid w:val="004301D6"/>
    <w:rsid w:val="004326A7"/>
    <w:rsid w:val="0043479E"/>
    <w:rsid w:val="00435143"/>
    <w:rsid w:val="0043665D"/>
    <w:rsid w:val="00436D56"/>
    <w:rsid w:val="00437BDA"/>
    <w:rsid w:val="00440E59"/>
    <w:rsid w:val="00443981"/>
    <w:rsid w:val="00444438"/>
    <w:rsid w:val="0045175C"/>
    <w:rsid w:val="00451CFF"/>
    <w:rsid w:val="00455EF1"/>
    <w:rsid w:val="00463522"/>
    <w:rsid w:val="00463654"/>
    <w:rsid w:val="004645FC"/>
    <w:rsid w:val="00464A71"/>
    <w:rsid w:val="00472B77"/>
    <w:rsid w:val="00475B17"/>
    <w:rsid w:val="004779FE"/>
    <w:rsid w:val="0048172F"/>
    <w:rsid w:val="00490C21"/>
    <w:rsid w:val="0049645D"/>
    <w:rsid w:val="00496DEC"/>
    <w:rsid w:val="004A40C5"/>
    <w:rsid w:val="004A55A0"/>
    <w:rsid w:val="004A5AAC"/>
    <w:rsid w:val="004A5B6E"/>
    <w:rsid w:val="004A690D"/>
    <w:rsid w:val="004B7830"/>
    <w:rsid w:val="004B78BC"/>
    <w:rsid w:val="004C0AE8"/>
    <w:rsid w:val="004C1DE5"/>
    <w:rsid w:val="004C1DFD"/>
    <w:rsid w:val="004C211C"/>
    <w:rsid w:val="004C4BA4"/>
    <w:rsid w:val="004C546C"/>
    <w:rsid w:val="004C5FE1"/>
    <w:rsid w:val="004C641C"/>
    <w:rsid w:val="004C7925"/>
    <w:rsid w:val="004C7A88"/>
    <w:rsid w:val="004D1B3C"/>
    <w:rsid w:val="004D1CB8"/>
    <w:rsid w:val="004D2AE0"/>
    <w:rsid w:val="004D79FF"/>
    <w:rsid w:val="004E073A"/>
    <w:rsid w:val="004E1A95"/>
    <w:rsid w:val="004E2A53"/>
    <w:rsid w:val="004E335E"/>
    <w:rsid w:val="004E3A91"/>
    <w:rsid w:val="004E4993"/>
    <w:rsid w:val="004F3F6A"/>
    <w:rsid w:val="004F772E"/>
    <w:rsid w:val="00516BAD"/>
    <w:rsid w:val="00517DE2"/>
    <w:rsid w:val="005241DF"/>
    <w:rsid w:val="00525B47"/>
    <w:rsid w:val="00537093"/>
    <w:rsid w:val="00541BA0"/>
    <w:rsid w:val="00541F42"/>
    <w:rsid w:val="00542053"/>
    <w:rsid w:val="00542519"/>
    <w:rsid w:val="00545074"/>
    <w:rsid w:val="00550B4C"/>
    <w:rsid w:val="00551869"/>
    <w:rsid w:val="0055304A"/>
    <w:rsid w:val="00555850"/>
    <w:rsid w:val="00556893"/>
    <w:rsid w:val="00570668"/>
    <w:rsid w:val="00570811"/>
    <w:rsid w:val="00571B13"/>
    <w:rsid w:val="00571D34"/>
    <w:rsid w:val="00580A1E"/>
    <w:rsid w:val="00584855"/>
    <w:rsid w:val="00584F71"/>
    <w:rsid w:val="0058566B"/>
    <w:rsid w:val="00590866"/>
    <w:rsid w:val="0059550E"/>
    <w:rsid w:val="005957B5"/>
    <w:rsid w:val="0059764F"/>
    <w:rsid w:val="005A2E15"/>
    <w:rsid w:val="005A792A"/>
    <w:rsid w:val="005B432E"/>
    <w:rsid w:val="005B53A7"/>
    <w:rsid w:val="005C0643"/>
    <w:rsid w:val="005C2DD9"/>
    <w:rsid w:val="005C2E51"/>
    <w:rsid w:val="005C2FC0"/>
    <w:rsid w:val="005C6201"/>
    <w:rsid w:val="005D07FE"/>
    <w:rsid w:val="005D1189"/>
    <w:rsid w:val="005D31BB"/>
    <w:rsid w:val="005D33BB"/>
    <w:rsid w:val="005D53C8"/>
    <w:rsid w:val="005D5E3C"/>
    <w:rsid w:val="005D63CD"/>
    <w:rsid w:val="005D652A"/>
    <w:rsid w:val="005E01C2"/>
    <w:rsid w:val="005E253F"/>
    <w:rsid w:val="005E2BA6"/>
    <w:rsid w:val="005E76C0"/>
    <w:rsid w:val="005E7837"/>
    <w:rsid w:val="005F3616"/>
    <w:rsid w:val="005F560D"/>
    <w:rsid w:val="005F656C"/>
    <w:rsid w:val="00604337"/>
    <w:rsid w:val="006071EE"/>
    <w:rsid w:val="00611EE7"/>
    <w:rsid w:val="00613635"/>
    <w:rsid w:val="00614FC3"/>
    <w:rsid w:val="00616FFF"/>
    <w:rsid w:val="0062153B"/>
    <w:rsid w:val="006229B0"/>
    <w:rsid w:val="00622A19"/>
    <w:rsid w:val="00624B09"/>
    <w:rsid w:val="00625734"/>
    <w:rsid w:val="00630F5A"/>
    <w:rsid w:val="00631891"/>
    <w:rsid w:val="00636759"/>
    <w:rsid w:val="006378A6"/>
    <w:rsid w:val="00637E6D"/>
    <w:rsid w:val="006464AD"/>
    <w:rsid w:val="00646B2C"/>
    <w:rsid w:val="0065293C"/>
    <w:rsid w:val="00652D10"/>
    <w:rsid w:val="00653BB3"/>
    <w:rsid w:val="00654DA9"/>
    <w:rsid w:val="00656B4A"/>
    <w:rsid w:val="006578A6"/>
    <w:rsid w:val="00657C23"/>
    <w:rsid w:val="006605D0"/>
    <w:rsid w:val="006605E0"/>
    <w:rsid w:val="00662274"/>
    <w:rsid w:val="0066789B"/>
    <w:rsid w:val="0067545A"/>
    <w:rsid w:val="00675798"/>
    <w:rsid w:val="00675985"/>
    <w:rsid w:val="00677A43"/>
    <w:rsid w:val="00685187"/>
    <w:rsid w:val="00692C4C"/>
    <w:rsid w:val="00692C8C"/>
    <w:rsid w:val="006A0425"/>
    <w:rsid w:val="006A0829"/>
    <w:rsid w:val="006A0924"/>
    <w:rsid w:val="006A3BBE"/>
    <w:rsid w:val="006A433A"/>
    <w:rsid w:val="006A43E7"/>
    <w:rsid w:val="006B2A17"/>
    <w:rsid w:val="006B3982"/>
    <w:rsid w:val="006B40E6"/>
    <w:rsid w:val="006B4241"/>
    <w:rsid w:val="006B4626"/>
    <w:rsid w:val="006B5123"/>
    <w:rsid w:val="006B6713"/>
    <w:rsid w:val="006B6FE6"/>
    <w:rsid w:val="006C209E"/>
    <w:rsid w:val="006C46D0"/>
    <w:rsid w:val="006C7789"/>
    <w:rsid w:val="006D5096"/>
    <w:rsid w:val="006D582A"/>
    <w:rsid w:val="006E1441"/>
    <w:rsid w:val="006E1815"/>
    <w:rsid w:val="006E3DB0"/>
    <w:rsid w:val="006E6ABB"/>
    <w:rsid w:val="006E6CBA"/>
    <w:rsid w:val="006E6CC8"/>
    <w:rsid w:val="006E6D1E"/>
    <w:rsid w:val="006F0284"/>
    <w:rsid w:val="006F7E5B"/>
    <w:rsid w:val="00704B24"/>
    <w:rsid w:val="0071065F"/>
    <w:rsid w:val="00714BEC"/>
    <w:rsid w:val="00716D26"/>
    <w:rsid w:val="00730F92"/>
    <w:rsid w:val="00733A00"/>
    <w:rsid w:val="00741CE6"/>
    <w:rsid w:val="00742A1C"/>
    <w:rsid w:val="0074591F"/>
    <w:rsid w:val="00751A0F"/>
    <w:rsid w:val="00752AD9"/>
    <w:rsid w:val="00754278"/>
    <w:rsid w:val="0075487D"/>
    <w:rsid w:val="00754A83"/>
    <w:rsid w:val="00756DB9"/>
    <w:rsid w:val="00761764"/>
    <w:rsid w:val="007629AF"/>
    <w:rsid w:val="0076566C"/>
    <w:rsid w:val="0077345C"/>
    <w:rsid w:val="00777322"/>
    <w:rsid w:val="00777686"/>
    <w:rsid w:val="00777DDA"/>
    <w:rsid w:val="00780980"/>
    <w:rsid w:val="00780983"/>
    <w:rsid w:val="007809DD"/>
    <w:rsid w:val="00781EB5"/>
    <w:rsid w:val="0078317A"/>
    <w:rsid w:val="00786ABA"/>
    <w:rsid w:val="00786CA3"/>
    <w:rsid w:val="00786CDA"/>
    <w:rsid w:val="00787639"/>
    <w:rsid w:val="00790030"/>
    <w:rsid w:val="00790174"/>
    <w:rsid w:val="00792041"/>
    <w:rsid w:val="00794766"/>
    <w:rsid w:val="0079646B"/>
    <w:rsid w:val="007A2235"/>
    <w:rsid w:val="007A3D7E"/>
    <w:rsid w:val="007A657D"/>
    <w:rsid w:val="007A6B5A"/>
    <w:rsid w:val="007B1946"/>
    <w:rsid w:val="007B1A23"/>
    <w:rsid w:val="007B7AAF"/>
    <w:rsid w:val="007C2238"/>
    <w:rsid w:val="007C3362"/>
    <w:rsid w:val="007C368D"/>
    <w:rsid w:val="007C5DA7"/>
    <w:rsid w:val="007C68D3"/>
    <w:rsid w:val="007C7C3A"/>
    <w:rsid w:val="007C7CD6"/>
    <w:rsid w:val="007D40C5"/>
    <w:rsid w:val="007D5EC7"/>
    <w:rsid w:val="007E354B"/>
    <w:rsid w:val="007E4DF8"/>
    <w:rsid w:val="007E6F64"/>
    <w:rsid w:val="007E7B06"/>
    <w:rsid w:val="007F1ED6"/>
    <w:rsid w:val="007F2C7A"/>
    <w:rsid w:val="007F3C5F"/>
    <w:rsid w:val="007F793A"/>
    <w:rsid w:val="007F7A14"/>
    <w:rsid w:val="007F7F99"/>
    <w:rsid w:val="00800D91"/>
    <w:rsid w:val="008012A2"/>
    <w:rsid w:val="00802548"/>
    <w:rsid w:val="00803941"/>
    <w:rsid w:val="008107A2"/>
    <w:rsid w:val="0081085E"/>
    <w:rsid w:val="00811CB7"/>
    <w:rsid w:val="00817941"/>
    <w:rsid w:val="00820530"/>
    <w:rsid w:val="008215F1"/>
    <w:rsid w:val="00821E24"/>
    <w:rsid w:val="00822F90"/>
    <w:rsid w:val="00823A1A"/>
    <w:rsid w:val="00831832"/>
    <w:rsid w:val="00832F34"/>
    <w:rsid w:val="0083386C"/>
    <w:rsid w:val="00834B3C"/>
    <w:rsid w:val="00835AC8"/>
    <w:rsid w:val="00836426"/>
    <w:rsid w:val="00847945"/>
    <w:rsid w:val="00851214"/>
    <w:rsid w:val="00851347"/>
    <w:rsid w:val="008609E0"/>
    <w:rsid w:val="00862DDE"/>
    <w:rsid w:val="0086417E"/>
    <w:rsid w:val="008670AE"/>
    <w:rsid w:val="00870944"/>
    <w:rsid w:val="008756A7"/>
    <w:rsid w:val="00876171"/>
    <w:rsid w:val="00877738"/>
    <w:rsid w:val="00891A42"/>
    <w:rsid w:val="008935C1"/>
    <w:rsid w:val="00895886"/>
    <w:rsid w:val="00897B66"/>
    <w:rsid w:val="008A4778"/>
    <w:rsid w:val="008A4E3A"/>
    <w:rsid w:val="008B01A2"/>
    <w:rsid w:val="008B2130"/>
    <w:rsid w:val="008B61B8"/>
    <w:rsid w:val="008C0B0F"/>
    <w:rsid w:val="008C6E62"/>
    <w:rsid w:val="008D106F"/>
    <w:rsid w:val="008D1F2C"/>
    <w:rsid w:val="008D464E"/>
    <w:rsid w:val="008D7284"/>
    <w:rsid w:val="008E6BBE"/>
    <w:rsid w:val="008E74CF"/>
    <w:rsid w:val="008E7952"/>
    <w:rsid w:val="008E7A21"/>
    <w:rsid w:val="008F2B94"/>
    <w:rsid w:val="00900AC1"/>
    <w:rsid w:val="00901673"/>
    <w:rsid w:val="00901928"/>
    <w:rsid w:val="009049BC"/>
    <w:rsid w:val="0090561C"/>
    <w:rsid w:val="0091137E"/>
    <w:rsid w:val="00911D62"/>
    <w:rsid w:val="00914494"/>
    <w:rsid w:val="00916413"/>
    <w:rsid w:val="0093126A"/>
    <w:rsid w:val="00932BBE"/>
    <w:rsid w:val="00933932"/>
    <w:rsid w:val="00934048"/>
    <w:rsid w:val="009342B9"/>
    <w:rsid w:val="009357F5"/>
    <w:rsid w:val="009364E8"/>
    <w:rsid w:val="009365CB"/>
    <w:rsid w:val="00940085"/>
    <w:rsid w:val="009412C0"/>
    <w:rsid w:val="00943855"/>
    <w:rsid w:val="00944E35"/>
    <w:rsid w:val="0094558A"/>
    <w:rsid w:val="009456AA"/>
    <w:rsid w:val="00945814"/>
    <w:rsid w:val="00945FF5"/>
    <w:rsid w:val="00946A13"/>
    <w:rsid w:val="00955AAE"/>
    <w:rsid w:val="0095611F"/>
    <w:rsid w:val="009568BA"/>
    <w:rsid w:val="009626A7"/>
    <w:rsid w:val="00965AA4"/>
    <w:rsid w:val="00971CB6"/>
    <w:rsid w:val="00973802"/>
    <w:rsid w:val="00974D98"/>
    <w:rsid w:val="00975867"/>
    <w:rsid w:val="0098028B"/>
    <w:rsid w:val="0098201F"/>
    <w:rsid w:val="00982919"/>
    <w:rsid w:val="00982A96"/>
    <w:rsid w:val="00984437"/>
    <w:rsid w:val="00985D66"/>
    <w:rsid w:val="00996A89"/>
    <w:rsid w:val="009A09CB"/>
    <w:rsid w:val="009A2506"/>
    <w:rsid w:val="009A2682"/>
    <w:rsid w:val="009A41F2"/>
    <w:rsid w:val="009A4907"/>
    <w:rsid w:val="009B56B8"/>
    <w:rsid w:val="009B612C"/>
    <w:rsid w:val="009C08E8"/>
    <w:rsid w:val="009D1B0E"/>
    <w:rsid w:val="009D3349"/>
    <w:rsid w:val="009E1D31"/>
    <w:rsid w:val="009E3CDF"/>
    <w:rsid w:val="009E4086"/>
    <w:rsid w:val="009E4623"/>
    <w:rsid w:val="009F057C"/>
    <w:rsid w:val="00A0094E"/>
    <w:rsid w:val="00A03544"/>
    <w:rsid w:val="00A0511E"/>
    <w:rsid w:val="00A05CC4"/>
    <w:rsid w:val="00A07F1F"/>
    <w:rsid w:val="00A13BB3"/>
    <w:rsid w:val="00A13F92"/>
    <w:rsid w:val="00A14353"/>
    <w:rsid w:val="00A22F15"/>
    <w:rsid w:val="00A37169"/>
    <w:rsid w:val="00A44AE2"/>
    <w:rsid w:val="00A455D8"/>
    <w:rsid w:val="00A51A91"/>
    <w:rsid w:val="00A53F56"/>
    <w:rsid w:val="00A54635"/>
    <w:rsid w:val="00A55950"/>
    <w:rsid w:val="00A55A1D"/>
    <w:rsid w:val="00A56B77"/>
    <w:rsid w:val="00A56C03"/>
    <w:rsid w:val="00A603CC"/>
    <w:rsid w:val="00A62D27"/>
    <w:rsid w:val="00A64391"/>
    <w:rsid w:val="00A66254"/>
    <w:rsid w:val="00A66FC5"/>
    <w:rsid w:val="00A7124D"/>
    <w:rsid w:val="00A71D90"/>
    <w:rsid w:val="00A736D6"/>
    <w:rsid w:val="00A748FD"/>
    <w:rsid w:val="00A757E5"/>
    <w:rsid w:val="00A80303"/>
    <w:rsid w:val="00A803C2"/>
    <w:rsid w:val="00A80A0C"/>
    <w:rsid w:val="00A81B44"/>
    <w:rsid w:val="00A82EF1"/>
    <w:rsid w:val="00A85473"/>
    <w:rsid w:val="00A86A56"/>
    <w:rsid w:val="00A90EFD"/>
    <w:rsid w:val="00A91859"/>
    <w:rsid w:val="00A93AD3"/>
    <w:rsid w:val="00A95E80"/>
    <w:rsid w:val="00A96291"/>
    <w:rsid w:val="00A967B1"/>
    <w:rsid w:val="00AA4D51"/>
    <w:rsid w:val="00AB262B"/>
    <w:rsid w:val="00AB2ED6"/>
    <w:rsid w:val="00AB447E"/>
    <w:rsid w:val="00AB4B36"/>
    <w:rsid w:val="00AB5F4F"/>
    <w:rsid w:val="00AC10D3"/>
    <w:rsid w:val="00AC1919"/>
    <w:rsid w:val="00AC5BAF"/>
    <w:rsid w:val="00AD034D"/>
    <w:rsid w:val="00AD136F"/>
    <w:rsid w:val="00AD5852"/>
    <w:rsid w:val="00AD79E8"/>
    <w:rsid w:val="00AE10A4"/>
    <w:rsid w:val="00AE3BEF"/>
    <w:rsid w:val="00AF0C3A"/>
    <w:rsid w:val="00AF3053"/>
    <w:rsid w:val="00AF3073"/>
    <w:rsid w:val="00AF3EB5"/>
    <w:rsid w:val="00AF577A"/>
    <w:rsid w:val="00B00A50"/>
    <w:rsid w:val="00B04D2B"/>
    <w:rsid w:val="00B10F56"/>
    <w:rsid w:val="00B11A83"/>
    <w:rsid w:val="00B138B1"/>
    <w:rsid w:val="00B17421"/>
    <w:rsid w:val="00B22B2D"/>
    <w:rsid w:val="00B260FF"/>
    <w:rsid w:val="00B26F60"/>
    <w:rsid w:val="00B32288"/>
    <w:rsid w:val="00B35134"/>
    <w:rsid w:val="00B371CB"/>
    <w:rsid w:val="00B4409C"/>
    <w:rsid w:val="00B47380"/>
    <w:rsid w:val="00B475FA"/>
    <w:rsid w:val="00B5205E"/>
    <w:rsid w:val="00B54F3B"/>
    <w:rsid w:val="00B65DF5"/>
    <w:rsid w:val="00B70C53"/>
    <w:rsid w:val="00B75D60"/>
    <w:rsid w:val="00B77393"/>
    <w:rsid w:val="00B80E50"/>
    <w:rsid w:val="00B81215"/>
    <w:rsid w:val="00B816FD"/>
    <w:rsid w:val="00B866FE"/>
    <w:rsid w:val="00B90816"/>
    <w:rsid w:val="00B90C15"/>
    <w:rsid w:val="00B929B7"/>
    <w:rsid w:val="00B92A9F"/>
    <w:rsid w:val="00B954F6"/>
    <w:rsid w:val="00B96C14"/>
    <w:rsid w:val="00BA3369"/>
    <w:rsid w:val="00BA664F"/>
    <w:rsid w:val="00BA6C59"/>
    <w:rsid w:val="00BB04AD"/>
    <w:rsid w:val="00BB1048"/>
    <w:rsid w:val="00BB19FF"/>
    <w:rsid w:val="00BB4947"/>
    <w:rsid w:val="00BB5A0D"/>
    <w:rsid w:val="00BB65C6"/>
    <w:rsid w:val="00BC19B2"/>
    <w:rsid w:val="00BC3033"/>
    <w:rsid w:val="00BC3947"/>
    <w:rsid w:val="00BC6ADE"/>
    <w:rsid w:val="00BD224D"/>
    <w:rsid w:val="00BD29D8"/>
    <w:rsid w:val="00BD37CF"/>
    <w:rsid w:val="00BD5844"/>
    <w:rsid w:val="00BE035E"/>
    <w:rsid w:val="00BE1FFF"/>
    <w:rsid w:val="00BE2043"/>
    <w:rsid w:val="00BE3653"/>
    <w:rsid w:val="00BF0561"/>
    <w:rsid w:val="00BF0EBE"/>
    <w:rsid w:val="00BF0F78"/>
    <w:rsid w:val="00BF17C5"/>
    <w:rsid w:val="00BF26C0"/>
    <w:rsid w:val="00BF47C8"/>
    <w:rsid w:val="00BF4D9D"/>
    <w:rsid w:val="00BF4E79"/>
    <w:rsid w:val="00BF65D1"/>
    <w:rsid w:val="00C02FE5"/>
    <w:rsid w:val="00C06570"/>
    <w:rsid w:val="00C079BE"/>
    <w:rsid w:val="00C079DB"/>
    <w:rsid w:val="00C17E52"/>
    <w:rsid w:val="00C205E3"/>
    <w:rsid w:val="00C21373"/>
    <w:rsid w:val="00C256EF"/>
    <w:rsid w:val="00C272EF"/>
    <w:rsid w:val="00C30824"/>
    <w:rsid w:val="00C318C2"/>
    <w:rsid w:val="00C37D42"/>
    <w:rsid w:val="00C400FE"/>
    <w:rsid w:val="00C40822"/>
    <w:rsid w:val="00C414C6"/>
    <w:rsid w:val="00C41E0B"/>
    <w:rsid w:val="00C42623"/>
    <w:rsid w:val="00C44312"/>
    <w:rsid w:val="00C443C6"/>
    <w:rsid w:val="00C46A7E"/>
    <w:rsid w:val="00C46F95"/>
    <w:rsid w:val="00C50968"/>
    <w:rsid w:val="00C54FF1"/>
    <w:rsid w:val="00C557D4"/>
    <w:rsid w:val="00C624BE"/>
    <w:rsid w:val="00C62611"/>
    <w:rsid w:val="00C63605"/>
    <w:rsid w:val="00C65034"/>
    <w:rsid w:val="00C66891"/>
    <w:rsid w:val="00C720B3"/>
    <w:rsid w:val="00C747F5"/>
    <w:rsid w:val="00C765C7"/>
    <w:rsid w:val="00C7695B"/>
    <w:rsid w:val="00C76AC4"/>
    <w:rsid w:val="00C76C9A"/>
    <w:rsid w:val="00C77C73"/>
    <w:rsid w:val="00C87F8A"/>
    <w:rsid w:val="00C975D0"/>
    <w:rsid w:val="00C97FF7"/>
    <w:rsid w:val="00CA2044"/>
    <w:rsid w:val="00CA2839"/>
    <w:rsid w:val="00CA55A7"/>
    <w:rsid w:val="00CB4887"/>
    <w:rsid w:val="00CB5B7D"/>
    <w:rsid w:val="00CC09E5"/>
    <w:rsid w:val="00CC0CB0"/>
    <w:rsid w:val="00CC1DC4"/>
    <w:rsid w:val="00CC4BD4"/>
    <w:rsid w:val="00CC6945"/>
    <w:rsid w:val="00CC6B6A"/>
    <w:rsid w:val="00CC708A"/>
    <w:rsid w:val="00CC7823"/>
    <w:rsid w:val="00CD07AD"/>
    <w:rsid w:val="00CD0B97"/>
    <w:rsid w:val="00CD363D"/>
    <w:rsid w:val="00CD61C7"/>
    <w:rsid w:val="00CD625F"/>
    <w:rsid w:val="00CD7FE6"/>
    <w:rsid w:val="00CE5C54"/>
    <w:rsid w:val="00CE7054"/>
    <w:rsid w:val="00CE7129"/>
    <w:rsid w:val="00CF2959"/>
    <w:rsid w:val="00CF4B86"/>
    <w:rsid w:val="00CF5D7C"/>
    <w:rsid w:val="00CF76C8"/>
    <w:rsid w:val="00D025F0"/>
    <w:rsid w:val="00D028A9"/>
    <w:rsid w:val="00D0341E"/>
    <w:rsid w:val="00D03C56"/>
    <w:rsid w:val="00D05941"/>
    <w:rsid w:val="00D05E11"/>
    <w:rsid w:val="00D060E5"/>
    <w:rsid w:val="00D06DE9"/>
    <w:rsid w:val="00D1172F"/>
    <w:rsid w:val="00D17A04"/>
    <w:rsid w:val="00D20191"/>
    <w:rsid w:val="00D224B8"/>
    <w:rsid w:val="00D3024E"/>
    <w:rsid w:val="00D327EB"/>
    <w:rsid w:val="00D33234"/>
    <w:rsid w:val="00D34D23"/>
    <w:rsid w:val="00D34FFE"/>
    <w:rsid w:val="00D35F80"/>
    <w:rsid w:val="00D366DF"/>
    <w:rsid w:val="00D403E2"/>
    <w:rsid w:val="00D41CB4"/>
    <w:rsid w:val="00D4557C"/>
    <w:rsid w:val="00D57DA2"/>
    <w:rsid w:val="00D63FEA"/>
    <w:rsid w:val="00D65213"/>
    <w:rsid w:val="00D66B3F"/>
    <w:rsid w:val="00D67C10"/>
    <w:rsid w:val="00D67F90"/>
    <w:rsid w:val="00D7321A"/>
    <w:rsid w:val="00D735DD"/>
    <w:rsid w:val="00D76B6E"/>
    <w:rsid w:val="00D8350C"/>
    <w:rsid w:val="00D83EB9"/>
    <w:rsid w:val="00D850E3"/>
    <w:rsid w:val="00D85E8E"/>
    <w:rsid w:val="00D91922"/>
    <w:rsid w:val="00D94A03"/>
    <w:rsid w:val="00DB0EAD"/>
    <w:rsid w:val="00DB4B7E"/>
    <w:rsid w:val="00DB51BD"/>
    <w:rsid w:val="00DB5F76"/>
    <w:rsid w:val="00DB6BED"/>
    <w:rsid w:val="00DB76E4"/>
    <w:rsid w:val="00DC03A9"/>
    <w:rsid w:val="00DC1316"/>
    <w:rsid w:val="00DC27BF"/>
    <w:rsid w:val="00DC2A5B"/>
    <w:rsid w:val="00DD123A"/>
    <w:rsid w:val="00DD2A09"/>
    <w:rsid w:val="00DD6AFB"/>
    <w:rsid w:val="00DE0661"/>
    <w:rsid w:val="00DE11E7"/>
    <w:rsid w:val="00DF0CB7"/>
    <w:rsid w:val="00DF2375"/>
    <w:rsid w:val="00DF283C"/>
    <w:rsid w:val="00DF5D45"/>
    <w:rsid w:val="00DF6ADC"/>
    <w:rsid w:val="00DF6D85"/>
    <w:rsid w:val="00DF7D6F"/>
    <w:rsid w:val="00E00386"/>
    <w:rsid w:val="00E02E47"/>
    <w:rsid w:val="00E05DFB"/>
    <w:rsid w:val="00E13586"/>
    <w:rsid w:val="00E20C9B"/>
    <w:rsid w:val="00E2163A"/>
    <w:rsid w:val="00E218D0"/>
    <w:rsid w:val="00E224C7"/>
    <w:rsid w:val="00E27773"/>
    <w:rsid w:val="00E27FF9"/>
    <w:rsid w:val="00E3017E"/>
    <w:rsid w:val="00E346FC"/>
    <w:rsid w:val="00E3622C"/>
    <w:rsid w:val="00E42F83"/>
    <w:rsid w:val="00E45026"/>
    <w:rsid w:val="00E457B6"/>
    <w:rsid w:val="00E469FD"/>
    <w:rsid w:val="00E51BC0"/>
    <w:rsid w:val="00E529C7"/>
    <w:rsid w:val="00E52DB9"/>
    <w:rsid w:val="00E55C8F"/>
    <w:rsid w:val="00E60189"/>
    <w:rsid w:val="00E61548"/>
    <w:rsid w:val="00E67142"/>
    <w:rsid w:val="00E679F2"/>
    <w:rsid w:val="00E67A29"/>
    <w:rsid w:val="00E71D7A"/>
    <w:rsid w:val="00E725FE"/>
    <w:rsid w:val="00E74E4D"/>
    <w:rsid w:val="00E7547E"/>
    <w:rsid w:val="00E76AC6"/>
    <w:rsid w:val="00E76EAD"/>
    <w:rsid w:val="00E82D3A"/>
    <w:rsid w:val="00E85271"/>
    <w:rsid w:val="00E90180"/>
    <w:rsid w:val="00EA0D6B"/>
    <w:rsid w:val="00EA2C89"/>
    <w:rsid w:val="00EB28CD"/>
    <w:rsid w:val="00EB28FC"/>
    <w:rsid w:val="00EB374F"/>
    <w:rsid w:val="00EB3CD6"/>
    <w:rsid w:val="00EB4481"/>
    <w:rsid w:val="00EB5BEA"/>
    <w:rsid w:val="00EB6E0B"/>
    <w:rsid w:val="00EB74F4"/>
    <w:rsid w:val="00EC235C"/>
    <w:rsid w:val="00EC30F4"/>
    <w:rsid w:val="00EC596F"/>
    <w:rsid w:val="00EC6027"/>
    <w:rsid w:val="00EC7CF1"/>
    <w:rsid w:val="00ED3F62"/>
    <w:rsid w:val="00ED69E3"/>
    <w:rsid w:val="00ED7AF8"/>
    <w:rsid w:val="00EE40A2"/>
    <w:rsid w:val="00EE7EDC"/>
    <w:rsid w:val="00EF0EDC"/>
    <w:rsid w:val="00EF11EF"/>
    <w:rsid w:val="00EF337B"/>
    <w:rsid w:val="00EF6CAC"/>
    <w:rsid w:val="00EF763A"/>
    <w:rsid w:val="00F007A2"/>
    <w:rsid w:val="00F00F67"/>
    <w:rsid w:val="00F0155E"/>
    <w:rsid w:val="00F02C41"/>
    <w:rsid w:val="00F02F64"/>
    <w:rsid w:val="00F13263"/>
    <w:rsid w:val="00F1589B"/>
    <w:rsid w:val="00F15A78"/>
    <w:rsid w:val="00F21236"/>
    <w:rsid w:val="00F2317A"/>
    <w:rsid w:val="00F23B20"/>
    <w:rsid w:val="00F3323E"/>
    <w:rsid w:val="00F3740D"/>
    <w:rsid w:val="00F401D9"/>
    <w:rsid w:val="00F51534"/>
    <w:rsid w:val="00F5613C"/>
    <w:rsid w:val="00F61292"/>
    <w:rsid w:val="00F65A59"/>
    <w:rsid w:val="00F71228"/>
    <w:rsid w:val="00F72E89"/>
    <w:rsid w:val="00F731DD"/>
    <w:rsid w:val="00F73BAE"/>
    <w:rsid w:val="00F760D8"/>
    <w:rsid w:val="00F76E1F"/>
    <w:rsid w:val="00F8168D"/>
    <w:rsid w:val="00F854F4"/>
    <w:rsid w:val="00F86BAF"/>
    <w:rsid w:val="00F91433"/>
    <w:rsid w:val="00F934D7"/>
    <w:rsid w:val="00F95ACE"/>
    <w:rsid w:val="00FA568E"/>
    <w:rsid w:val="00FA5BFB"/>
    <w:rsid w:val="00FA7F71"/>
    <w:rsid w:val="00FB46DA"/>
    <w:rsid w:val="00FC002E"/>
    <w:rsid w:val="00FC2771"/>
    <w:rsid w:val="00FC3613"/>
    <w:rsid w:val="00FC4DF8"/>
    <w:rsid w:val="00FC7475"/>
    <w:rsid w:val="00FD7C40"/>
    <w:rsid w:val="00FE1B89"/>
    <w:rsid w:val="00FE5960"/>
    <w:rsid w:val="00FF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FB816-9102-474B-B0FE-670717A8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9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7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6789B"/>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816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5D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B0964"/>
    <w:pPr>
      <w:jc w:val="center"/>
    </w:pPr>
    <w:rPr>
      <w:b/>
    </w:rPr>
  </w:style>
  <w:style w:type="character" w:customStyle="1" w:styleId="a4">
    <w:name w:val="Название Знак"/>
    <w:basedOn w:val="a0"/>
    <w:link w:val="a3"/>
    <w:rsid w:val="002B0964"/>
    <w:rPr>
      <w:rFonts w:ascii="Times New Roman" w:eastAsia="Times New Roman" w:hAnsi="Times New Roman" w:cs="Times New Roman"/>
      <w:b/>
      <w:sz w:val="24"/>
      <w:szCs w:val="24"/>
      <w:lang w:eastAsia="ru-RU"/>
    </w:rPr>
  </w:style>
  <w:style w:type="paragraph" w:styleId="a5">
    <w:name w:val="List Paragraph"/>
    <w:basedOn w:val="a"/>
    <w:uiPriority w:val="34"/>
    <w:qFormat/>
    <w:rsid w:val="002B0964"/>
    <w:pPr>
      <w:ind w:left="720"/>
      <w:contextualSpacing/>
    </w:pPr>
  </w:style>
  <w:style w:type="paragraph" w:customStyle="1" w:styleId="zoomme">
    <w:name w:val="zoomme"/>
    <w:basedOn w:val="a"/>
    <w:uiPriority w:val="99"/>
    <w:rsid w:val="002B0964"/>
    <w:pPr>
      <w:spacing w:before="100" w:beforeAutospacing="1" w:after="100" w:afterAutospacing="1"/>
    </w:pPr>
  </w:style>
  <w:style w:type="paragraph" w:styleId="a6">
    <w:name w:val="footer"/>
    <w:basedOn w:val="a"/>
    <w:link w:val="a7"/>
    <w:uiPriority w:val="99"/>
    <w:unhideWhenUsed/>
    <w:rsid w:val="002B0964"/>
    <w:pPr>
      <w:tabs>
        <w:tab w:val="center" w:pos="4677"/>
        <w:tab w:val="right" w:pos="9355"/>
      </w:tabs>
    </w:pPr>
  </w:style>
  <w:style w:type="character" w:customStyle="1" w:styleId="a7">
    <w:name w:val="Нижний колонтитул Знак"/>
    <w:basedOn w:val="a0"/>
    <w:link w:val="a6"/>
    <w:uiPriority w:val="99"/>
    <w:rsid w:val="002B0964"/>
    <w:rPr>
      <w:rFonts w:ascii="Times New Roman" w:eastAsia="Times New Roman" w:hAnsi="Times New Roman" w:cs="Times New Roman"/>
      <w:sz w:val="24"/>
      <w:szCs w:val="24"/>
      <w:lang w:eastAsia="ru-RU"/>
    </w:rPr>
  </w:style>
  <w:style w:type="character" w:styleId="a8">
    <w:name w:val="Strong"/>
    <w:basedOn w:val="a0"/>
    <w:uiPriority w:val="22"/>
    <w:qFormat/>
    <w:rsid w:val="002B0964"/>
    <w:rPr>
      <w:b/>
      <w:bCs/>
    </w:rPr>
  </w:style>
  <w:style w:type="paragraph" w:styleId="a9">
    <w:name w:val="Body Text"/>
    <w:basedOn w:val="a"/>
    <w:link w:val="aa"/>
    <w:rsid w:val="002B0964"/>
    <w:pPr>
      <w:widowControl w:val="0"/>
      <w:suppressAutoHyphens/>
      <w:spacing w:after="120"/>
    </w:pPr>
    <w:rPr>
      <w:rFonts w:eastAsia="DejaVu Sans" w:cs="Lohit Hindi"/>
      <w:kern w:val="1"/>
      <w:lang w:eastAsia="hi-IN" w:bidi="hi-IN"/>
    </w:rPr>
  </w:style>
  <w:style w:type="character" w:customStyle="1" w:styleId="aa">
    <w:name w:val="Основной текст Знак"/>
    <w:basedOn w:val="a0"/>
    <w:link w:val="a9"/>
    <w:rsid w:val="002B0964"/>
    <w:rPr>
      <w:rFonts w:ascii="Times New Roman" w:eastAsia="DejaVu Sans" w:hAnsi="Times New Roman" w:cs="Lohit Hindi"/>
      <w:kern w:val="1"/>
      <w:sz w:val="24"/>
      <w:szCs w:val="24"/>
      <w:lang w:eastAsia="hi-IN" w:bidi="hi-IN"/>
    </w:rPr>
  </w:style>
  <w:style w:type="character" w:styleId="ab">
    <w:name w:val="Hyperlink"/>
    <w:unhideWhenUsed/>
    <w:rsid w:val="002B0964"/>
    <w:rPr>
      <w:color w:val="0000FF"/>
      <w:u w:val="single"/>
    </w:rPr>
  </w:style>
  <w:style w:type="paragraph" w:styleId="ac">
    <w:name w:val="Normal (Web)"/>
    <w:basedOn w:val="a"/>
    <w:uiPriority w:val="99"/>
    <w:unhideWhenUsed/>
    <w:rsid w:val="002B0964"/>
    <w:pPr>
      <w:spacing w:before="100" w:beforeAutospacing="1" w:after="100" w:afterAutospacing="1"/>
    </w:pPr>
  </w:style>
  <w:style w:type="character" w:customStyle="1" w:styleId="apple-converted-space">
    <w:name w:val="apple-converted-space"/>
    <w:basedOn w:val="a0"/>
    <w:rsid w:val="0098028B"/>
  </w:style>
  <w:style w:type="character" w:customStyle="1" w:styleId="20">
    <w:name w:val="Заголовок 2 Знак"/>
    <w:basedOn w:val="a0"/>
    <w:link w:val="2"/>
    <w:uiPriority w:val="9"/>
    <w:rsid w:val="0066789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6789B"/>
    <w:rPr>
      <w:rFonts w:asciiTheme="majorHAnsi" w:eastAsiaTheme="majorEastAsia" w:hAnsiTheme="majorHAnsi" w:cstheme="majorBidi"/>
      <w:b/>
      <w:bCs/>
      <w:color w:val="365F91" w:themeColor="accent1" w:themeShade="BF"/>
      <w:sz w:val="28"/>
      <w:szCs w:val="28"/>
      <w:lang w:eastAsia="ru-RU"/>
    </w:rPr>
  </w:style>
  <w:style w:type="character" w:customStyle="1" w:styleId="p">
    <w:name w:val="p"/>
    <w:basedOn w:val="a0"/>
    <w:rsid w:val="00496DEC"/>
  </w:style>
  <w:style w:type="character" w:customStyle="1" w:styleId="about-time-orange">
    <w:name w:val="about-time-orange"/>
    <w:basedOn w:val="a0"/>
    <w:rsid w:val="00496DEC"/>
  </w:style>
  <w:style w:type="character" w:customStyle="1" w:styleId="about-eye-orange">
    <w:name w:val="about-eye-orange"/>
    <w:basedOn w:val="a0"/>
    <w:rsid w:val="00496DEC"/>
  </w:style>
  <w:style w:type="character" w:customStyle="1" w:styleId="about-heart-orange">
    <w:name w:val="about-heart-orange"/>
    <w:basedOn w:val="a0"/>
    <w:rsid w:val="00496DEC"/>
  </w:style>
  <w:style w:type="character" w:styleId="ad">
    <w:name w:val="Emphasis"/>
    <w:basedOn w:val="a0"/>
    <w:uiPriority w:val="20"/>
    <w:qFormat/>
    <w:rsid w:val="00496DEC"/>
    <w:rPr>
      <w:i/>
      <w:iCs/>
    </w:rPr>
  </w:style>
  <w:style w:type="paragraph" w:styleId="ae">
    <w:name w:val="Balloon Text"/>
    <w:basedOn w:val="a"/>
    <w:link w:val="af"/>
    <w:uiPriority w:val="99"/>
    <w:semiHidden/>
    <w:unhideWhenUsed/>
    <w:rsid w:val="00496DEC"/>
    <w:rPr>
      <w:rFonts w:ascii="Tahoma" w:hAnsi="Tahoma" w:cs="Tahoma"/>
      <w:sz w:val="16"/>
      <w:szCs w:val="16"/>
    </w:rPr>
  </w:style>
  <w:style w:type="character" w:customStyle="1" w:styleId="af">
    <w:name w:val="Текст выноски Знак"/>
    <w:basedOn w:val="a0"/>
    <w:link w:val="ae"/>
    <w:uiPriority w:val="99"/>
    <w:semiHidden/>
    <w:rsid w:val="00496DEC"/>
    <w:rPr>
      <w:rFonts w:ascii="Tahoma" w:eastAsia="Times New Roman" w:hAnsi="Tahoma" w:cs="Tahoma"/>
      <w:sz w:val="16"/>
      <w:szCs w:val="16"/>
      <w:lang w:eastAsia="ru-RU"/>
    </w:rPr>
  </w:style>
  <w:style w:type="character" w:customStyle="1" w:styleId="40">
    <w:name w:val="Заголовок 4 Знак"/>
    <w:basedOn w:val="a0"/>
    <w:link w:val="4"/>
    <w:uiPriority w:val="9"/>
    <w:rsid w:val="00CF5D7C"/>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D06DE9"/>
    <w:pPr>
      <w:tabs>
        <w:tab w:val="center" w:pos="4677"/>
        <w:tab w:val="right" w:pos="9355"/>
      </w:tabs>
    </w:pPr>
  </w:style>
  <w:style w:type="character" w:customStyle="1" w:styleId="af1">
    <w:name w:val="Верхний колонтитул Знак"/>
    <w:basedOn w:val="a0"/>
    <w:link w:val="af0"/>
    <w:uiPriority w:val="99"/>
    <w:rsid w:val="00D06DE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816FD"/>
    <w:rPr>
      <w:rFonts w:asciiTheme="majorHAnsi" w:eastAsiaTheme="majorEastAsia" w:hAnsiTheme="majorHAnsi" w:cstheme="majorBidi"/>
      <w:b/>
      <w:bCs/>
      <w:color w:val="4F81BD" w:themeColor="accent1"/>
      <w:sz w:val="24"/>
      <w:szCs w:val="24"/>
      <w:lang w:eastAsia="ru-RU"/>
    </w:rPr>
  </w:style>
  <w:style w:type="character" w:styleId="af2">
    <w:name w:val="FollowedHyperlink"/>
    <w:basedOn w:val="a0"/>
    <w:uiPriority w:val="99"/>
    <w:semiHidden/>
    <w:unhideWhenUsed/>
    <w:rsid w:val="00B32288"/>
    <w:rPr>
      <w:color w:val="800080" w:themeColor="followedHyperlink"/>
      <w:u w:val="single"/>
    </w:rPr>
  </w:style>
  <w:style w:type="character" w:styleId="af3">
    <w:name w:val="annotation reference"/>
    <w:basedOn w:val="a0"/>
    <w:uiPriority w:val="99"/>
    <w:semiHidden/>
    <w:unhideWhenUsed/>
    <w:rsid w:val="00FC002E"/>
    <w:rPr>
      <w:sz w:val="16"/>
      <w:szCs w:val="16"/>
    </w:rPr>
  </w:style>
  <w:style w:type="paragraph" w:styleId="af4">
    <w:name w:val="annotation text"/>
    <w:basedOn w:val="a"/>
    <w:link w:val="af5"/>
    <w:uiPriority w:val="99"/>
    <w:semiHidden/>
    <w:unhideWhenUsed/>
    <w:rsid w:val="00FC002E"/>
    <w:rPr>
      <w:sz w:val="20"/>
      <w:szCs w:val="20"/>
    </w:rPr>
  </w:style>
  <w:style w:type="character" w:customStyle="1" w:styleId="af5">
    <w:name w:val="Текст примечания Знак"/>
    <w:basedOn w:val="a0"/>
    <w:link w:val="af4"/>
    <w:uiPriority w:val="99"/>
    <w:semiHidden/>
    <w:rsid w:val="00FC002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C002E"/>
    <w:rPr>
      <w:b/>
      <w:bCs/>
    </w:rPr>
  </w:style>
  <w:style w:type="character" w:customStyle="1" w:styleId="af7">
    <w:name w:val="Тема примечания Знак"/>
    <w:basedOn w:val="af5"/>
    <w:link w:val="af6"/>
    <w:uiPriority w:val="99"/>
    <w:semiHidden/>
    <w:rsid w:val="00FC002E"/>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6E1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03706">
      <w:bodyDiv w:val="1"/>
      <w:marLeft w:val="0"/>
      <w:marRight w:val="0"/>
      <w:marTop w:val="0"/>
      <w:marBottom w:val="0"/>
      <w:divBdr>
        <w:top w:val="none" w:sz="0" w:space="0" w:color="auto"/>
        <w:left w:val="none" w:sz="0" w:space="0" w:color="auto"/>
        <w:bottom w:val="none" w:sz="0" w:space="0" w:color="auto"/>
        <w:right w:val="none" w:sz="0" w:space="0" w:color="auto"/>
      </w:divBdr>
    </w:div>
    <w:div w:id="243147252">
      <w:bodyDiv w:val="1"/>
      <w:marLeft w:val="0"/>
      <w:marRight w:val="0"/>
      <w:marTop w:val="0"/>
      <w:marBottom w:val="0"/>
      <w:divBdr>
        <w:top w:val="none" w:sz="0" w:space="0" w:color="auto"/>
        <w:left w:val="none" w:sz="0" w:space="0" w:color="auto"/>
        <w:bottom w:val="none" w:sz="0" w:space="0" w:color="auto"/>
        <w:right w:val="none" w:sz="0" w:space="0" w:color="auto"/>
      </w:divBdr>
    </w:div>
    <w:div w:id="359169001">
      <w:bodyDiv w:val="1"/>
      <w:marLeft w:val="0"/>
      <w:marRight w:val="0"/>
      <w:marTop w:val="0"/>
      <w:marBottom w:val="0"/>
      <w:divBdr>
        <w:top w:val="none" w:sz="0" w:space="0" w:color="auto"/>
        <w:left w:val="none" w:sz="0" w:space="0" w:color="auto"/>
        <w:bottom w:val="none" w:sz="0" w:space="0" w:color="auto"/>
        <w:right w:val="none" w:sz="0" w:space="0" w:color="auto"/>
      </w:divBdr>
    </w:div>
    <w:div w:id="391657701">
      <w:bodyDiv w:val="1"/>
      <w:marLeft w:val="0"/>
      <w:marRight w:val="0"/>
      <w:marTop w:val="0"/>
      <w:marBottom w:val="0"/>
      <w:divBdr>
        <w:top w:val="none" w:sz="0" w:space="0" w:color="auto"/>
        <w:left w:val="none" w:sz="0" w:space="0" w:color="auto"/>
        <w:bottom w:val="none" w:sz="0" w:space="0" w:color="auto"/>
        <w:right w:val="none" w:sz="0" w:space="0" w:color="auto"/>
      </w:divBdr>
    </w:div>
    <w:div w:id="400445694">
      <w:bodyDiv w:val="1"/>
      <w:marLeft w:val="0"/>
      <w:marRight w:val="0"/>
      <w:marTop w:val="0"/>
      <w:marBottom w:val="0"/>
      <w:divBdr>
        <w:top w:val="none" w:sz="0" w:space="0" w:color="auto"/>
        <w:left w:val="none" w:sz="0" w:space="0" w:color="auto"/>
        <w:bottom w:val="none" w:sz="0" w:space="0" w:color="auto"/>
        <w:right w:val="none" w:sz="0" w:space="0" w:color="auto"/>
      </w:divBdr>
    </w:div>
    <w:div w:id="412169470">
      <w:bodyDiv w:val="1"/>
      <w:marLeft w:val="0"/>
      <w:marRight w:val="0"/>
      <w:marTop w:val="0"/>
      <w:marBottom w:val="0"/>
      <w:divBdr>
        <w:top w:val="none" w:sz="0" w:space="0" w:color="auto"/>
        <w:left w:val="none" w:sz="0" w:space="0" w:color="auto"/>
        <w:bottom w:val="none" w:sz="0" w:space="0" w:color="auto"/>
        <w:right w:val="none" w:sz="0" w:space="0" w:color="auto"/>
      </w:divBdr>
    </w:div>
    <w:div w:id="495994154">
      <w:bodyDiv w:val="1"/>
      <w:marLeft w:val="0"/>
      <w:marRight w:val="0"/>
      <w:marTop w:val="0"/>
      <w:marBottom w:val="0"/>
      <w:divBdr>
        <w:top w:val="none" w:sz="0" w:space="0" w:color="auto"/>
        <w:left w:val="none" w:sz="0" w:space="0" w:color="auto"/>
        <w:bottom w:val="none" w:sz="0" w:space="0" w:color="auto"/>
        <w:right w:val="none" w:sz="0" w:space="0" w:color="auto"/>
      </w:divBdr>
    </w:div>
    <w:div w:id="529269868">
      <w:bodyDiv w:val="1"/>
      <w:marLeft w:val="0"/>
      <w:marRight w:val="0"/>
      <w:marTop w:val="0"/>
      <w:marBottom w:val="0"/>
      <w:divBdr>
        <w:top w:val="none" w:sz="0" w:space="0" w:color="auto"/>
        <w:left w:val="none" w:sz="0" w:space="0" w:color="auto"/>
        <w:bottom w:val="none" w:sz="0" w:space="0" w:color="auto"/>
        <w:right w:val="none" w:sz="0" w:space="0" w:color="auto"/>
      </w:divBdr>
    </w:div>
    <w:div w:id="555698689">
      <w:bodyDiv w:val="1"/>
      <w:marLeft w:val="0"/>
      <w:marRight w:val="0"/>
      <w:marTop w:val="0"/>
      <w:marBottom w:val="0"/>
      <w:divBdr>
        <w:top w:val="none" w:sz="0" w:space="0" w:color="auto"/>
        <w:left w:val="none" w:sz="0" w:space="0" w:color="auto"/>
        <w:bottom w:val="none" w:sz="0" w:space="0" w:color="auto"/>
        <w:right w:val="none" w:sz="0" w:space="0" w:color="auto"/>
      </w:divBdr>
    </w:div>
    <w:div w:id="598100622">
      <w:bodyDiv w:val="1"/>
      <w:marLeft w:val="0"/>
      <w:marRight w:val="0"/>
      <w:marTop w:val="0"/>
      <w:marBottom w:val="0"/>
      <w:divBdr>
        <w:top w:val="none" w:sz="0" w:space="0" w:color="auto"/>
        <w:left w:val="none" w:sz="0" w:space="0" w:color="auto"/>
        <w:bottom w:val="none" w:sz="0" w:space="0" w:color="auto"/>
        <w:right w:val="none" w:sz="0" w:space="0" w:color="auto"/>
      </w:divBdr>
    </w:div>
    <w:div w:id="605306217">
      <w:bodyDiv w:val="1"/>
      <w:marLeft w:val="0"/>
      <w:marRight w:val="0"/>
      <w:marTop w:val="0"/>
      <w:marBottom w:val="0"/>
      <w:divBdr>
        <w:top w:val="none" w:sz="0" w:space="0" w:color="auto"/>
        <w:left w:val="none" w:sz="0" w:space="0" w:color="auto"/>
        <w:bottom w:val="none" w:sz="0" w:space="0" w:color="auto"/>
        <w:right w:val="none" w:sz="0" w:space="0" w:color="auto"/>
      </w:divBdr>
    </w:div>
    <w:div w:id="629823654">
      <w:bodyDiv w:val="1"/>
      <w:marLeft w:val="0"/>
      <w:marRight w:val="0"/>
      <w:marTop w:val="0"/>
      <w:marBottom w:val="0"/>
      <w:divBdr>
        <w:top w:val="none" w:sz="0" w:space="0" w:color="auto"/>
        <w:left w:val="none" w:sz="0" w:space="0" w:color="auto"/>
        <w:bottom w:val="none" w:sz="0" w:space="0" w:color="auto"/>
        <w:right w:val="none" w:sz="0" w:space="0" w:color="auto"/>
      </w:divBdr>
    </w:div>
    <w:div w:id="639112343">
      <w:bodyDiv w:val="1"/>
      <w:marLeft w:val="0"/>
      <w:marRight w:val="0"/>
      <w:marTop w:val="0"/>
      <w:marBottom w:val="0"/>
      <w:divBdr>
        <w:top w:val="none" w:sz="0" w:space="0" w:color="auto"/>
        <w:left w:val="none" w:sz="0" w:space="0" w:color="auto"/>
        <w:bottom w:val="none" w:sz="0" w:space="0" w:color="auto"/>
        <w:right w:val="none" w:sz="0" w:space="0" w:color="auto"/>
      </w:divBdr>
    </w:div>
    <w:div w:id="680358050">
      <w:bodyDiv w:val="1"/>
      <w:marLeft w:val="0"/>
      <w:marRight w:val="0"/>
      <w:marTop w:val="0"/>
      <w:marBottom w:val="0"/>
      <w:divBdr>
        <w:top w:val="none" w:sz="0" w:space="0" w:color="auto"/>
        <w:left w:val="none" w:sz="0" w:space="0" w:color="auto"/>
        <w:bottom w:val="none" w:sz="0" w:space="0" w:color="auto"/>
        <w:right w:val="none" w:sz="0" w:space="0" w:color="auto"/>
      </w:divBdr>
    </w:div>
    <w:div w:id="732391046">
      <w:bodyDiv w:val="1"/>
      <w:marLeft w:val="0"/>
      <w:marRight w:val="0"/>
      <w:marTop w:val="0"/>
      <w:marBottom w:val="0"/>
      <w:divBdr>
        <w:top w:val="none" w:sz="0" w:space="0" w:color="auto"/>
        <w:left w:val="none" w:sz="0" w:space="0" w:color="auto"/>
        <w:bottom w:val="none" w:sz="0" w:space="0" w:color="auto"/>
        <w:right w:val="none" w:sz="0" w:space="0" w:color="auto"/>
      </w:divBdr>
    </w:div>
    <w:div w:id="755252544">
      <w:bodyDiv w:val="1"/>
      <w:marLeft w:val="0"/>
      <w:marRight w:val="0"/>
      <w:marTop w:val="0"/>
      <w:marBottom w:val="0"/>
      <w:divBdr>
        <w:top w:val="none" w:sz="0" w:space="0" w:color="auto"/>
        <w:left w:val="none" w:sz="0" w:space="0" w:color="auto"/>
        <w:bottom w:val="none" w:sz="0" w:space="0" w:color="auto"/>
        <w:right w:val="none" w:sz="0" w:space="0" w:color="auto"/>
      </w:divBdr>
    </w:div>
    <w:div w:id="777872137">
      <w:bodyDiv w:val="1"/>
      <w:marLeft w:val="0"/>
      <w:marRight w:val="0"/>
      <w:marTop w:val="0"/>
      <w:marBottom w:val="0"/>
      <w:divBdr>
        <w:top w:val="none" w:sz="0" w:space="0" w:color="auto"/>
        <w:left w:val="none" w:sz="0" w:space="0" w:color="auto"/>
        <w:bottom w:val="none" w:sz="0" w:space="0" w:color="auto"/>
        <w:right w:val="none" w:sz="0" w:space="0" w:color="auto"/>
      </w:divBdr>
    </w:div>
    <w:div w:id="820390556">
      <w:bodyDiv w:val="1"/>
      <w:marLeft w:val="0"/>
      <w:marRight w:val="0"/>
      <w:marTop w:val="0"/>
      <w:marBottom w:val="0"/>
      <w:divBdr>
        <w:top w:val="none" w:sz="0" w:space="0" w:color="auto"/>
        <w:left w:val="none" w:sz="0" w:space="0" w:color="auto"/>
        <w:bottom w:val="none" w:sz="0" w:space="0" w:color="auto"/>
        <w:right w:val="none" w:sz="0" w:space="0" w:color="auto"/>
      </w:divBdr>
      <w:divsChild>
        <w:div w:id="1648783867">
          <w:marLeft w:val="0"/>
          <w:marRight w:val="0"/>
          <w:marTop w:val="0"/>
          <w:marBottom w:val="150"/>
          <w:divBdr>
            <w:top w:val="none" w:sz="0" w:space="0" w:color="auto"/>
            <w:left w:val="none" w:sz="0" w:space="0" w:color="auto"/>
            <w:bottom w:val="none" w:sz="0" w:space="0" w:color="auto"/>
            <w:right w:val="none" w:sz="0" w:space="0" w:color="auto"/>
          </w:divBdr>
        </w:div>
        <w:div w:id="1027831567">
          <w:marLeft w:val="0"/>
          <w:marRight w:val="0"/>
          <w:marTop w:val="0"/>
          <w:marBottom w:val="0"/>
          <w:divBdr>
            <w:top w:val="none" w:sz="0" w:space="0" w:color="auto"/>
            <w:left w:val="none" w:sz="0" w:space="0" w:color="auto"/>
            <w:bottom w:val="none" w:sz="0" w:space="0" w:color="auto"/>
            <w:right w:val="none" w:sz="0" w:space="0" w:color="auto"/>
          </w:divBdr>
          <w:divsChild>
            <w:div w:id="1095443876">
              <w:marLeft w:val="0"/>
              <w:marRight w:val="0"/>
              <w:marTop w:val="0"/>
              <w:marBottom w:val="0"/>
              <w:divBdr>
                <w:top w:val="none" w:sz="0" w:space="0" w:color="auto"/>
                <w:left w:val="none" w:sz="0" w:space="0" w:color="auto"/>
                <w:bottom w:val="none" w:sz="0" w:space="0" w:color="auto"/>
                <w:right w:val="none" w:sz="0" w:space="0" w:color="auto"/>
              </w:divBdr>
            </w:div>
            <w:div w:id="1258635443">
              <w:marLeft w:val="0"/>
              <w:marRight w:val="0"/>
              <w:marTop w:val="0"/>
              <w:marBottom w:val="0"/>
              <w:divBdr>
                <w:top w:val="none" w:sz="0" w:space="0" w:color="auto"/>
                <w:left w:val="none" w:sz="0" w:space="0" w:color="auto"/>
                <w:bottom w:val="none" w:sz="0" w:space="0" w:color="auto"/>
                <w:right w:val="none" w:sz="0" w:space="0" w:color="auto"/>
              </w:divBdr>
              <w:divsChild>
                <w:div w:id="429012531">
                  <w:marLeft w:val="0"/>
                  <w:marRight w:val="0"/>
                  <w:marTop w:val="0"/>
                  <w:marBottom w:val="0"/>
                  <w:divBdr>
                    <w:top w:val="none" w:sz="0" w:space="0" w:color="auto"/>
                    <w:left w:val="none" w:sz="0" w:space="0" w:color="auto"/>
                    <w:bottom w:val="none" w:sz="0" w:space="0" w:color="auto"/>
                    <w:right w:val="none" w:sz="0" w:space="0" w:color="auto"/>
                  </w:divBdr>
                </w:div>
                <w:div w:id="1304193872">
                  <w:marLeft w:val="0"/>
                  <w:marRight w:val="0"/>
                  <w:marTop w:val="0"/>
                  <w:marBottom w:val="0"/>
                  <w:divBdr>
                    <w:top w:val="none" w:sz="0" w:space="0" w:color="auto"/>
                    <w:left w:val="none" w:sz="0" w:space="0" w:color="auto"/>
                    <w:bottom w:val="none" w:sz="0" w:space="0" w:color="auto"/>
                    <w:right w:val="none" w:sz="0" w:space="0" w:color="auto"/>
                  </w:divBdr>
                </w:div>
                <w:div w:id="296108819">
                  <w:marLeft w:val="0"/>
                  <w:marRight w:val="0"/>
                  <w:marTop w:val="0"/>
                  <w:marBottom w:val="0"/>
                  <w:divBdr>
                    <w:top w:val="none" w:sz="0" w:space="0" w:color="auto"/>
                    <w:left w:val="none" w:sz="0" w:space="0" w:color="auto"/>
                    <w:bottom w:val="none" w:sz="0" w:space="0" w:color="auto"/>
                    <w:right w:val="none" w:sz="0" w:space="0" w:color="auto"/>
                  </w:divBdr>
                </w:div>
                <w:div w:id="1160659760">
                  <w:marLeft w:val="0"/>
                  <w:marRight w:val="0"/>
                  <w:marTop w:val="0"/>
                  <w:marBottom w:val="0"/>
                  <w:divBdr>
                    <w:top w:val="none" w:sz="0" w:space="0" w:color="auto"/>
                    <w:left w:val="none" w:sz="0" w:space="0" w:color="auto"/>
                    <w:bottom w:val="none" w:sz="0" w:space="0" w:color="auto"/>
                    <w:right w:val="none" w:sz="0" w:space="0" w:color="auto"/>
                  </w:divBdr>
                </w:div>
                <w:div w:id="749935846">
                  <w:marLeft w:val="0"/>
                  <w:marRight w:val="0"/>
                  <w:marTop w:val="0"/>
                  <w:marBottom w:val="0"/>
                  <w:divBdr>
                    <w:top w:val="none" w:sz="0" w:space="0" w:color="auto"/>
                    <w:left w:val="none" w:sz="0" w:space="0" w:color="auto"/>
                    <w:bottom w:val="none" w:sz="0" w:space="0" w:color="auto"/>
                    <w:right w:val="none" w:sz="0" w:space="0" w:color="auto"/>
                  </w:divBdr>
                </w:div>
                <w:div w:id="10853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1020">
      <w:bodyDiv w:val="1"/>
      <w:marLeft w:val="0"/>
      <w:marRight w:val="0"/>
      <w:marTop w:val="0"/>
      <w:marBottom w:val="0"/>
      <w:divBdr>
        <w:top w:val="none" w:sz="0" w:space="0" w:color="auto"/>
        <w:left w:val="none" w:sz="0" w:space="0" w:color="auto"/>
        <w:bottom w:val="none" w:sz="0" w:space="0" w:color="auto"/>
        <w:right w:val="none" w:sz="0" w:space="0" w:color="auto"/>
      </w:divBdr>
    </w:div>
    <w:div w:id="926961782">
      <w:bodyDiv w:val="1"/>
      <w:marLeft w:val="0"/>
      <w:marRight w:val="0"/>
      <w:marTop w:val="0"/>
      <w:marBottom w:val="0"/>
      <w:divBdr>
        <w:top w:val="none" w:sz="0" w:space="0" w:color="auto"/>
        <w:left w:val="none" w:sz="0" w:space="0" w:color="auto"/>
        <w:bottom w:val="none" w:sz="0" w:space="0" w:color="auto"/>
        <w:right w:val="none" w:sz="0" w:space="0" w:color="auto"/>
      </w:divBdr>
    </w:div>
    <w:div w:id="1024097001">
      <w:bodyDiv w:val="1"/>
      <w:marLeft w:val="0"/>
      <w:marRight w:val="0"/>
      <w:marTop w:val="0"/>
      <w:marBottom w:val="0"/>
      <w:divBdr>
        <w:top w:val="none" w:sz="0" w:space="0" w:color="auto"/>
        <w:left w:val="none" w:sz="0" w:space="0" w:color="auto"/>
        <w:bottom w:val="none" w:sz="0" w:space="0" w:color="auto"/>
        <w:right w:val="none" w:sz="0" w:space="0" w:color="auto"/>
      </w:divBdr>
    </w:div>
    <w:div w:id="1043871594">
      <w:bodyDiv w:val="1"/>
      <w:marLeft w:val="0"/>
      <w:marRight w:val="0"/>
      <w:marTop w:val="0"/>
      <w:marBottom w:val="0"/>
      <w:divBdr>
        <w:top w:val="none" w:sz="0" w:space="0" w:color="auto"/>
        <w:left w:val="none" w:sz="0" w:space="0" w:color="auto"/>
        <w:bottom w:val="none" w:sz="0" w:space="0" w:color="auto"/>
        <w:right w:val="none" w:sz="0" w:space="0" w:color="auto"/>
      </w:divBdr>
    </w:div>
    <w:div w:id="1060329414">
      <w:bodyDiv w:val="1"/>
      <w:marLeft w:val="0"/>
      <w:marRight w:val="0"/>
      <w:marTop w:val="0"/>
      <w:marBottom w:val="0"/>
      <w:divBdr>
        <w:top w:val="none" w:sz="0" w:space="0" w:color="auto"/>
        <w:left w:val="none" w:sz="0" w:space="0" w:color="auto"/>
        <w:bottom w:val="none" w:sz="0" w:space="0" w:color="auto"/>
        <w:right w:val="none" w:sz="0" w:space="0" w:color="auto"/>
      </w:divBdr>
    </w:div>
    <w:div w:id="1087309567">
      <w:bodyDiv w:val="1"/>
      <w:marLeft w:val="0"/>
      <w:marRight w:val="0"/>
      <w:marTop w:val="0"/>
      <w:marBottom w:val="0"/>
      <w:divBdr>
        <w:top w:val="none" w:sz="0" w:space="0" w:color="auto"/>
        <w:left w:val="none" w:sz="0" w:space="0" w:color="auto"/>
        <w:bottom w:val="none" w:sz="0" w:space="0" w:color="auto"/>
        <w:right w:val="none" w:sz="0" w:space="0" w:color="auto"/>
      </w:divBdr>
    </w:div>
    <w:div w:id="1121924980">
      <w:bodyDiv w:val="1"/>
      <w:marLeft w:val="0"/>
      <w:marRight w:val="0"/>
      <w:marTop w:val="0"/>
      <w:marBottom w:val="0"/>
      <w:divBdr>
        <w:top w:val="none" w:sz="0" w:space="0" w:color="auto"/>
        <w:left w:val="none" w:sz="0" w:space="0" w:color="auto"/>
        <w:bottom w:val="none" w:sz="0" w:space="0" w:color="auto"/>
        <w:right w:val="none" w:sz="0" w:space="0" w:color="auto"/>
      </w:divBdr>
    </w:div>
    <w:div w:id="1124008545">
      <w:bodyDiv w:val="1"/>
      <w:marLeft w:val="0"/>
      <w:marRight w:val="0"/>
      <w:marTop w:val="0"/>
      <w:marBottom w:val="0"/>
      <w:divBdr>
        <w:top w:val="none" w:sz="0" w:space="0" w:color="auto"/>
        <w:left w:val="none" w:sz="0" w:space="0" w:color="auto"/>
        <w:bottom w:val="none" w:sz="0" w:space="0" w:color="auto"/>
        <w:right w:val="none" w:sz="0" w:space="0" w:color="auto"/>
      </w:divBdr>
    </w:div>
    <w:div w:id="1126847008">
      <w:bodyDiv w:val="1"/>
      <w:marLeft w:val="0"/>
      <w:marRight w:val="0"/>
      <w:marTop w:val="0"/>
      <w:marBottom w:val="0"/>
      <w:divBdr>
        <w:top w:val="none" w:sz="0" w:space="0" w:color="auto"/>
        <w:left w:val="none" w:sz="0" w:space="0" w:color="auto"/>
        <w:bottom w:val="none" w:sz="0" w:space="0" w:color="auto"/>
        <w:right w:val="none" w:sz="0" w:space="0" w:color="auto"/>
      </w:divBdr>
    </w:div>
    <w:div w:id="1134906843">
      <w:bodyDiv w:val="1"/>
      <w:marLeft w:val="0"/>
      <w:marRight w:val="0"/>
      <w:marTop w:val="0"/>
      <w:marBottom w:val="0"/>
      <w:divBdr>
        <w:top w:val="none" w:sz="0" w:space="0" w:color="auto"/>
        <w:left w:val="none" w:sz="0" w:space="0" w:color="auto"/>
        <w:bottom w:val="none" w:sz="0" w:space="0" w:color="auto"/>
        <w:right w:val="none" w:sz="0" w:space="0" w:color="auto"/>
      </w:divBdr>
    </w:div>
    <w:div w:id="1137799859">
      <w:bodyDiv w:val="1"/>
      <w:marLeft w:val="0"/>
      <w:marRight w:val="0"/>
      <w:marTop w:val="0"/>
      <w:marBottom w:val="0"/>
      <w:divBdr>
        <w:top w:val="none" w:sz="0" w:space="0" w:color="auto"/>
        <w:left w:val="none" w:sz="0" w:space="0" w:color="auto"/>
        <w:bottom w:val="none" w:sz="0" w:space="0" w:color="auto"/>
        <w:right w:val="none" w:sz="0" w:space="0" w:color="auto"/>
      </w:divBdr>
    </w:div>
    <w:div w:id="1176993017">
      <w:bodyDiv w:val="1"/>
      <w:marLeft w:val="0"/>
      <w:marRight w:val="0"/>
      <w:marTop w:val="0"/>
      <w:marBottom w:val="0"/>
      <w:divBdr>
        <w:top w:val="none" w:sz="0" w:space="0" w:color="auto"/>
        <w:left w:val="none" w:sz="0" w:space="0" w:color="auto"/>
        <w:bottom w:val="none" w:sz="0" w:space="0" w:color="auto"/>
        <w:right w:val="none" w:sz="0" w:space="0" w:color="auto"/>
      </w:divBdr>
    </w:div>
    <w:div w:id="1206286095">
      <w:bodyDiv w:val="1"/>
      <w:marLeft w:val="0"/>
      <w:marRight w:val="0"/>
      <w:marTop w:val="0"/>
      <w:marBottom w:val="0"/>
      <w:divBdr>
        <w:top w:val="none" w:sz="0" w:space="0" w:color="auto"/>
        <w:left w:val="none" w:sz="0" w:space="0" w:color="auto"/>
        <w:bottom w:val="none" w:sz="0" w:space="0" w:color="auto"/>
        <w:right w:val="none" w:sz="0" w:space="0" w:color="auto"/>
      </w:divBdr>
    </w:div>
    <w:div w:id="1222713382">
      <w:bodyDiv w:val="1"/>
      <w:marLeft w:val="0"/>
      <w:marRight w:val="0"/>
      <w:marTop w:val="0"/>
      <w:marBottom w:val="0"/>
      <w:divBdr>
        <w:top w:val="none" w:sz="0" w:space="0" w:color="auto"/>
        <w:left w:val="none" w:sz="0" w:space="0" w:color="auto"/>
        <w:bottom w:val="none" w:sz="0" w:space="0" w:color="auto"/>
        <w:right w:val="none" w:sz="0" w:space="0" w:color="auto"/>
      </w:divBdr>
    </w:div>
    <w:div w:id="1265848405">
      <w:bodyDiv w:val="1"/>
      <w:marLeft w:val="0"/>
      <w:marRight w:val="0"/>
      <w:marTop w:val="0"/>
      <w:marBottom w:val="0"/>
      <w:divBdr>
        <w:top w:val="none" w:sz="0" w:space="0" w:color="auto"/>
        <w:left w:val="none" w:sz="0" w:space="0" w:color="auto"/>
        <w:bottom w:val="none" w:sz="0" w:space="0" w:color="auto"/>
        <w:right w:val="none" w:sz="0" w:space="0" w:color="auto"/>
      </w:divBdr>
    </w:div>
    <w:div w:id="1271284450">
      <w:bodyDiv w:val="1"/>
      <w:marLeft w:val="0"/>
      <w:marRight w:val="0"/>
      <w:marTop w:val="0"/>
      <w:marBottom w:val="0"/>
      <w:divBdr>
        <w:top w:val="none" w:sz="0" w:space="0" w:color="auto"/>
        <w:left w:val="none" w:sz="0" w:space="0" w:color="auto"/>
        <w:bottom w:val="none" w:sz="0" w:space="0" w:color="auto"/>
        <w:right w:val="none" w:sz="0" w:space="0" w:color="auto"/>
      </w:divBdr>
    </w:div>
    <w:div w:id="1356805460">
      <w:bodyDiv w:val="1"/>
      <w:marLeft w:val="0"/>
      <w:marRight w:val="0"/>
      <w:marTop w:val="0"/>
      <w:marBottom w:val="0"/>
      <w:divBdr>
        <w:top w:val="none" w:sz="0" w:space="0" w:color="auto"/>
        <w:left w:val="none" w:sz="0" w:space="0" w:color="auto"/>
        <w:bottom w:val="none" w:sz="0" w:space="0" w:color="auto"/>
        <w:right w:val="none" w:sz="0" w:space="0" w:color="auto"/>
      </w:divBdr>
    </w:div>
    <w:div w:id="1457408655">
      <w:bodyDiv w:val="1"/>
      <w:marLeft w:val="0"/>
      <w:marRight w:val="0"/>
      <w:marTop w:val="0"/>
      <w:marBottom w:val="0"/>
      <w:divBdr>
        <w:top w:val="none" w:sz="0" w:space="0" w:color="auto"/>
        <w:left w:val="none" w:sz="0" w:space="0" w:color="auto"/>
        <w:bottom w:val="none" w:sz="0" w:space="0" w:color="auto"/>
        <w:right w:val="none" w:sz="0" w:space="0" w:color="auto"/>
      </w:divBdr>
    </w:div>
    <w:div w:id="1646397818">
      <w:bodyDiv w:val="1"/>
      <w:marLeft w:val="0"/>
      <w:marRight w:val="0"/>
      <w:marTop w:val="0"/>
      <w:marBottom w:val="0"/>
      <w:divBdr>
        <w:top w:val="none" w:sz="0" w:space="0" w:color="auto"/>
        <w:left w:val="none" w:sz="0" w:space="0" w:color="auto"/>
        <w:bottom w:val="none" w:sz="0" w:space="0" w:color="auto"/>
        <w:right w:val="none" w:sz="0" w:space="0" w:color="auto"/>
      </w:divBdr>
    </w:div>
    <w:div w:id="1688021439">
      <w:bodyDiv w:val="1"/>
      <w:marLeft w:val="0"/>
      <w:marRight w:val="0"/>
      <w:marTop w:val="0"/>
      <w:marBottom w:val="0"/>
      <w:divBdr>
        <w:top w:val="none" w:sz="0" w:space="0" w:color="auto"/>
        <w:left w:val="none" w:sz="0" w:space="0" w:color="auto"/>
        <w:bottom w:val="none" w:sz="0" w:space="0" w:color="auto"/>
        <w:right w:val="none" w:sz="0" w:space="0" w:color="auto"/>
      </w:divBdr>
      <w:divsChild>
        <w:div w:id="962728269">
          <w:marLeft w:val="0"/>
          <w:marRight w:val="0"/>
          <w:marTop w:val="0"/>
          <w:marBottom w:val="0"/>
          <w:divBdr>
            <w:top w:val="none" w:sz="0" w:space="0" w:color="auto"/>
            <w:left w:val="none" w:sz="0" w:space="0" w:color="auto"/>
            <w:bottom w:val="none" w:sz="0" w:space="0" w:color="auto"/>
            <w:right w:val="none" w:sz="0" w:space="0" w:color="auto"/>
          </w:divBdr>
        </w:div>
      </w:divsChild>
    </w:div>
    <w:div w:id="1727952078">
      <w:bodyDiv w:val="1"/>
      <w:marLeft w:val="0"/>
      <w:marRight w:val="0"/>
      <w:marTop w:val="0"/>
      <w:marBottom w:val="0"/>
      <w:divBdr>
        <w:top w:val="none" w:sz="0" w:space="0" w:color="auto"/>
        <w:left w:val="none" w:sz="0" w:space="0" w:color="auto"/>
        <w:bottom w:val="none" w:sz="0" w:space="0" w:color="auto"/>
        <w:right w:val="none" w:sz="0" w:space="0" w:color="auto"/>
      </w:divBdr>
    </w:div>
    <w:div w:id="1731266989">
      <w:bodyDiv w:val="1"/>
      <w:marLeft w:val="0"/>
      <w:marRight w:val="0"/>
      <w:marTop w:val="0"/>
      <w:marBottom w:val="0"/>
      <w:divBdr>
        <w:top w:val="none" w:sz="0" w:space="0" w:color="auto"/>
        <w:left w:val="none" w:sz="0" w:space="0" w:color="auto"/>
        <w:bottom w:val="none" w:sz="0" w:space="0" w:color="auto"/>
        <w:right w:val="none" w:sz="0" w:space="0" w:color="auto"/>
      </w:divBdr>
    </w:div>
    <w:div w:id="1732733617">
      <w:bodyDiv w:val="1"/>
      <w:marLeft w:val="0"/>
      <w:marRight w:val="0"/>
      <w:marTop w:val="0"/>
      <w:marBottom w:val="0"/>
      <w:divBdr>
        <w:top w:val="none" w:sz="0" w:space="0" w:color="auto"/>
        <w:left w:val="none" w:sz="0" w:space="0" w:color="auto"/>
        <w:bottom w:val="none" w:sz="0" w:space="0" w:color="auto"/>
        <w:right w:val="none" w:sz="0" w:space="0" w:color="auto"/>
      </w:divBdr>
    </w:div>
    <w:div w:id="1744402613">
      <w:bodyDiv w:val="1"/>
      <w:marLeft w:val="0"/>
      <w:marRight w:val="0"/>
      <w:marTop w:val="0"/>
      <w:marBottom w:val="0"/>
      <w:divBdr>
        <w:top w:val="none" w:sz="0" w:space="0" w:color="auto"/>
        <w:left w:val="none" w:sz="0" w:space="0" w:color="auto"/>
        <w:bottom w:val="none" w:sz="0" w:space="0" w:color="auto"/>
        <w:right w:val="none" w:sz="0" w:space="0" w:color="auto"/>
      </w:divBdr>
    </w:div>
    <w:div w:id="1750617923">
      <w:bodyDiv w:val="1"/>
      <w:marLeft w:val="0"/>
      <w:marRight w:val="0"/>
      <w:marTop w:val="0"/>
      <w:marBottom w:val="0"/>
      <w:divBdr>
        <w:top w:val="none" w:sz="0" w:space="0" w:color="auto"/>
        <w:left w:val="none" w:sz="0" w:space="0" w:color="auto"/>
        <w:bottom w:val="none" w:sz="0" w:space="0" w:color="auto"/>
        <w:right w:val="none" w:sz="0" w:space="0" w:color="auto"/>
      </w:divBdr>
    </w:div>
    <w:div w:id="1824344934">
      <w:bodyDiv w:val="1"/>
      <w:marLeft w:val="0"/>
      <w:marRight w:val="0"/>
      <w:marTop w:val="0"/>
      <w:marBottom w:val="0"/>
      <w:divBdr>
        <w:top w:val="none" w:sz="0" w:space="0" w:color="auto"/>
        <w:left w:val="none" w:sz="0" w:space="0" w:color="auto"/>
        <w:bottom w:val="none" w:sz="0" w:space="0" w:color="auto"/>
        <w:right w:val="none" w:sz="0" w:space="0" w:color="auto"/>
      </w:divBdr>
    </w:div>
    <w:div w:id="1829134510">
      <w:bodyDiv w:val="1"/>
      <w:marLeft w:val="0"/>
      <w:marRight w:val="0"/>
      <w:marTop w:val="0"/>
      <w:marBottom w:val="0"/>
      <w:divBdr>
        <w:top w:val="none" w:sz="0" w:space="0" w:color="auto"/>
        <w:left w:val="none" w:sz="0" w:space="0" w:color="auto"/>
        <w:bottom w:val="none" w:sz="0" w:space="0" w:color="auto"/>
        <w:right w:val="none" w:sz="0" w:space="0" w:color="auto"/>
      </w:divBdr>
    </w:div>
    <w:div w:id="1924992001">
      <w:bodyDiv w:val="1"/>
      <w:marLeft w:val="0"/>
      <w:marRight w:val="0"/>
      <w:marTop w:val="0"/>
      <w:marBottom w:val="0"/>
      <w:divBdr>
        <w:top w:val="none" w:sz="0" w:space="0" w:color="auto"/>
        <w:left w:val="none" w:sz="0" w:space="0" w:color="auto"/>
        <w:bottom w:val="none" w:sz="0" w:space="0" w:color="auto"/>
        <w:right w:val="none" w:sz="0" w:space="0" w:color="auto"/>
      </w:divBdr>
    </w:div>
    <w:div w:id="21074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22425/" TargetMode="External"/><Relationship Id="rId13" Type="http://schemas.openxmlformats.org/officeDocument/2006/relationships/hyperlink" Target="http://www.garant.ru/news/1223058/" TargetMode="External"/><Relationship Id="rId18" Type="http://schemas.openxmlformats.org/officeDocument/2006/relationships/hyperlink" Target="http://www.garant.ru/news/1223369/" TargetMode="External"/><Relationship Id="rId3" Type="http://schemas.openxmlformats.org/officeDocument/2006/relationships/styles" Target="styles.xml"/><Relationship Id="rId21" Type="http://schemas.openxmlformats.org/officeDocument/2006/relationships/hyperlink" Target="http://www.garant.ru/news/1223257/" TargetMode="External"/><Relationship Id="rId7" Type="http://schemas.openxmlformats.org/officeDocument/2006/relationships/endnotes" Target="endnotes.xml"/><Relationship Id="rId12" Type="http://schemas.openxmlformats.org/officeDocument/2006/relationships/hyperlink" Target="http://www.garant.ru/news/1223058/" TargetMode="External"/><Relationship Id="rId17" Type="http://schemas.openxmlformats.org/officeDocument/2006/relationships/hyperlink" Target="http://www.garant.ru/news/1223343/" TargetMode="External"/><Relationship Id="rId2" Type="http://schemas.openxmlformats.org/officeDocument/2006/relationships/numbering" Target="numbering.xml"/><Relationship Id="rId16" Type="http://schemas.openxmlformats.org/officeDocument/2006/relationships/hyperlink" Target="http://www.garant.ru/news/1223342/" TargetMode="External"/><Relationship Id="rId20" Type="http://schemas.openxmlformats.org/officeDocument/2006/relationships/hyperlink" Target="http://www.garant.ru/news/12233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news/1222603/" TargetMode="External"/><Relationship Id="rId5" Type="http://schemas.openxmlformats.org/officeDocument/2006/relationships/webSettings" Target="webSettings.xml"/><Relationship Id="rId15" Type="http://schemas.openxmlformats.org/officeDocument/2006/relationships/hyperlink" Target="http://www.garant.ru/news/1223122/" TargetMode="External"/><Relationship Id="rId23" Type="http://schemas.openxmlformats.org/officeDocument/2006/relationships/theme" Target="theme/theme1.xml"/><Relationship Id="rId10" Type="http://schemas.openxmlformats.org/officeDocument/2006/relationships/hyperlink" Target="http://www.garant.ru/news/1222571/" TargetMode="External"/><Relationship Id="rId19" Type="http://schemas.openxmlformats.org/officeDocument/2006/relationships/hyperlink" Target="http://www.garant.ru/news/1223222/" TargetMode="External"/><Relationship Id="rId4" Type="http://schemas.openxmlformats.org/officeDocument/2006/relationships/settings" Target="settings.xml"/><Relationship Id="rId9" Type="http://schemas.openxmlformats.org/officeDocument/2006/relationships/hyperlink" Target="http://www.garant.ru/news/1222551/" TargetMode="External"/><Relationship Id="rId14" Type="http://schemas.openxmlformats.org/officeDocument/2006/relationships/hyperlink" Target="http://www.garant.ru/news/122320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E582-1BD1-47DB-BB04-B64A159F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3899</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Сентюрина</dc:creator>
  <cp:lastModifiedBy>ZhaboMA</cp:lastModifiedBy>
  <cp:revision>8</cp:revision>
  <cp:lastPrinted>2018-10-02T07:26:00Z</cp:lastPrinted>
  <dcterms:created xsi:type="dcterms:W3CDTF">2018-10-15T06:57:00Z</dcterms:created>
  <dcterms:modified xsi:type="dcterms:W3CDTF">2018-10-16T12:53:00Z</dcterms:modified>
</cp:coreProperties>
</file>