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C13" w:rsidRDefault="00582C13" w:rsidP="00582C13">
      <w:pPr>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t>ККТ при расчетах встречным предоставлением: очередной вариант применения</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2 сентября 2019</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Под расчетами в ст. 1.1 Федерального закона от 22 мая 2003 г. № 54-ФЗ "О применении контрольно-кассовой техники при осуществлении расчетов в Российской Федерации" понимается, в том числе, предоставление или получение иного встречного предоставления за товары, работы, услуги. Эта норма действует с 1 июля 2019 года и вызывает множество вопросов (письмо УФНС России по г. Москве от 16 августа 2019 г. № 17-26/2/152399@, письмо УФНС России по г. Москве от 13 августа 2019 г. № 17-15/147887@).</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В начале августа московские налоговики пришли к выводу, что ККТ точно должна применяться при договоре мены, причем обеими сторонами и на "приход", и на "расход".</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В рассматриваемых письмах специалисты УФНС по г. Москве пошли дальше и распространили эту позицию на зачет встречного однородного требования, новацию, прощение долга. В частности, при проведении взаимозачета договоры купли-продажи товаров (оказания услуг, выполнения работ) с целью исполнения обязательств, по которым производится зачет, остаются возмездными, а взаимозачет является встречным представлением, и соответственно применяется ККТ. Однако момент формирования и направления клиенту кассового чека при зачете взаимных требований законодательно не установлен. По мнению УФНС, кассовый чек должен быть сформирован не позднее дня зачета таких требований.</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При этом ФНС России в более позднем письме (от 21 августа 2019 г. № АС-4-20/16571@) разъяснила, что при расчетах встречным предоставлением между организациями и (или) ИП применение ККТ не требуется в силу того, что такие расчеты не подразумевают оплату наличными или с предъявлением электронного средства платежа (см. новость от 28.08.2019). Кстати, аналогичное мнение высказано в письме Минфина России от 2 августа 2019 г. № 03-01-15/58437 в отношении зачета взаимных требований.</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Из совокупности этих разъяснений напрашивается вывод, что ККТ надо применять только при предоставлении или получении встречного предоставления за товары (работы, услуги) при расчетах с физическими лицами. При этом под встречным предоставлением следует понимать все варианты неденежных расчетов – мену, новацию, зачет и даже прощение долга. Однако в эту картину не вписывается мнение по поводу выдачи чеков обеими сторонами, поскольку физлица ККТ пока использовать не обязаны (письмо УФНС России по г. Москве от 1 августа 2019 г. № 17-15/138092@).</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xml:space="preserve">Источник: </w:t>
      </w:r>
      <w:hyperlink r:id="rId4" w:history="1">
        <w:r>
          <w:rPr>
            <w:rStyle w:val="a3"/>
            <w:rFonts w:ascii="Times New Roman" w:hAnsi="Times New Roman" w:cs="Times New Roman"/>
            <w:sz w:val="28"/>
            <w:szCs w:val="28"/>
          </w:rPr>
          <w:t>https://www.garant.ru/news/1290985/</w:t>
        </w:r>
      </w:hyperlink>
    </w:p>
    <w:p w:rsidR="00582C13" w:rsidRDefault="00582C13" w:rsidP="00582C13"/>
    <w:p w:rsidR="00582C13" w:rsidRDefault="00582C13" w:rsidP="00582C13">
      <w:pPr>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t>Предлагается дать законодательное определение понятию "коррупционное правонарушение"</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2 сентября 2019</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xml:space="preserve">С инициативой включения соответствующего термина в Федеральный закон от 25 декабря 2008 г. № 273-ФЗ "О противодействии коррупции" (далее – </w:t>
      </w:r>
      <w:r>
        <w:rPr>
          <w:rFonts w:ascii="Times New Roman" w:hAnsi="Times New Roman" w:cs="Times New Roman"/>
          <w:sz w:val="28"/>
          <w:szCs w:val="28"/>
        </w:rPr>
        <w:lastRenderedPageBreak/>
        <w:t>Закон № 273-ФЗ) выступил член Совета Федерации Алексей Александров. Разработанный им законопроект внесен в Госдуму.</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Согласно документу1  ст. 1 Закона № 273-ФЗ может быть дополнена новым пунктом, предусматривающим определение понятия "коррупционное правонарушение". Под таковым предлагается понимать деяние (действие или бездействие), обладающее признаками коррупции, за которое законодательством РФ установлена уголовная, административная, гражданско-правовая или дисциплинарная ответственность.</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Закон уже содержит расшифровку понятий "коррупция" и "противодействие коррупции", но законодательное определение понятия "коррупционное правонарушение" в нем отсутствует. Хотя оно требуется, например, для реализации введенной Федеральным законом от 3 октября 2018 г. № 351-ФЗ "О внесении изменений в статьи 46 и 146 Бюджетного кодекса Российской Федерации в части расширения перечня доходов бюджета Пенсионного фонда Российской Федерации" нормы, предусматривающей зачисление в бюджет ПФР конфискованных денежных средств, полученных в результате совершения коррупционных правонарушений, а также денежных средств от реализации конфискованного имущества, полученного в результате совершения коррупционных правонарушений.</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xml:space="preserve">Закрепление в законодательстве определения понятия "коррупционное правонарушение" не только устранит правовой пробел, но и в целом будет способствовать совершенствованию нормативного регулирования в сфере противодействия коррупции.  </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xml:space="preserve">Источник: </w:t>
      </w:r>
      <w:hyperlink r:id="rId5" w:history="1">
        <w:r>
          <w:rPr>
            <w:rStyle w:val="a3"/>
            <w:rFonts w:ascii="Times New Roman" w:hAnsi="Times New Roman" w:cs="Times New Roman"/>
            <w:sz w:val="28"/>
            <w:szCs w:val="28"/>
          </w:rPr>
          <w:t>https://www.garant.ru/news/1290717/</w:t>
        </w:r>
      </w:hyperlink>
    </w:p>
    <w:p w:rsidR="00582C13" w:rsidRDefault="00582C13" w:rsidP="00582C13">
      <w:pPr>
        <w:rPr>
          <w:rFonts w:ascii="Times New Roman" w:hAnsi="Times New Roman" w:cs="Times New Roman"/>
          <w:sz w:val="28"/>
          <w:szCs w:val="28"/>
        </w:rPr>
      </w:pPr>
    </w:p>
    <w:p w:rsidR="00582C13" w:rsidRDefault="00582C13" w:rsidP="00582C13">
      <w:pPr>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t>Вступили в силу изменения в закон об ОСАГО в части оформления европротокола в электронном виде</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2 сентября 2019</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1 сентября 2019 года вступили в силу поправки в Федеральный закон от 25 апреля 2002 г. № 40-ФЗ "Об обязательном страховании гражданской ответственности владельцев транспортных средств", согласно которым, в случаях, предусмотренных правилами обязательного страхования, при оформлении документов о дорожно-транспортном происшествии без участия уполномоченных на то сотрудников полиции (европротокол) извещение о ДТП можно составить в виде электронного документа с использованием Единого портала государственных и муниципальных услуг (Федеральный закон от 1 мая 2019 г. № 88-ФЗ).</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Необходимые изменения в Правила ОСАГО, закрепляющие случаи и порядок оформления извещения о ДТП в электронном виде, на данный момент не внесены (хотя были подготовлены Банком России еще в июле). В связи с этим пока воспользоваться нововведением не получится.</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xml:space="preserve">ГАРАНТ.РУ: </w:t>
      </w:r>
      <w:hyperlink r:id="rId6" w:anchor="ixzz5zXTODVxh" w:history="1">
        <w:r>
          <w:rPr>
            <w:rStyle w:val="a3"/>
            <w:rFonts w:ascii="Times New Roman" w:hAnsi="Times New Roman" w:cs="Times New Roman"/>
            <w:sz w:val="28"/>
            <w:szCs w:val="28"/>
          </w:rPr>
          <w:t>http://www.garant.ru/news/1290722/#ixzz5zXTODVxh</w:t>
        </w:r>
      </w:hyperlink>
    </w:p>
    <w:p w:rsidR="00582C13" w:rsidRDefault="00582C13" w:rsidP="00582C13">
      <w:pPr>
        <w:rPr>
          <w:rFonts w:ascii="Times New Roman" w:hAnsi="Times New Roman" w:cs="Times New Roman"/>
          <w:sz w:val="28"/>
          <w:szCs w:val="28"/>
        </w:rPr>
      </w:pPr>
    </w:p>
    <w:p w:rsidR="00582C13" w:rsidRDefault="00582C13" w:rsidP="00582C13">
      <w:pPr>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t>Минфин России разъяснил, в каких случаях доход от продажи доли участия в уставном капитале организации не будет облагаться НДФЛ</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lastRenderedPageBreak/>
        <w:t>2 сентября 2019</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Минфин России разъяснил особенности исчисления минимального срока владения имуществом при расчете НДФЛ с доходов от реализации доли участия в уставном капитале российской организации (письмо Департамента налоговой и таможенной политики Минфина России от 13 августа 2019 г. № 03-04-05/61178).</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Налоговым законодательством предусмотрено освобождение от обложения НДФЛ доходы физлиц, получаемые от реализации (погашения) долей участия в уставном капитале российских организаций, а также акций при условии, что на дату их реализации (погашения) они непрерывно принадлежали налогоплательщику на праве собственности или ином вещном праве более пяти лет (п. 17,2 ст. 217 Налогового кодекса).</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По общим правилам имущество, нажитое супругами во время брака, является их совместной собственностью, только если договором между ними не установлен иной режим этого имущества (п. 1 ст. 256 Гражданского кодекса, п. 1 ст. 34 Семейного кодекса). При этом не имеет значения на имя кого из супругов оно приобретено либо на имя кого или кем из супругов внесены денежные средства (п. 2 ст. 34 Семейного кодекса РФ).</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Соответственно, как поясняет министерство, срок владения супругами долями участия в уставном капитале российской организации исчисляется с момента приобретения такой доли одним из супругов в общую совместную собственность супругов. А значит, если на момент продажи доли она находилась в собственности более пяти лет, то доход от ее продажи налогом облагаться не будет.</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Аналогичный порядок действует и при определении необходимости уплаты налога с доходов от продажи доли участия в уставном капитале российской организации, полученной путем наследования. Если с момента открытия наследства прошло более пяти лет, то налогом такой доход не облагается. При этом, как поясняет Минфин России, срок владения не зависит от времени фактического принятия наследства, а также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xml:space="preserve">Источник: </w:t>
      </w:r>
      <w:hyperlink r:id="rId7" w:history="1">
        <w:r>
          <w:rPr>
            <w:rStyle w:val="a3"/>
            <w:rFonts w:ascii="Times New Roman" w:hAnsi="Times New Roman" w:cs="Times New Roman"/>
            <w:sz w:val="28"/>
            <w:szCs w:val="28"/>
          </w:rPr>
          <w:t>https://www.garant.ru/news/1291124/</w:t>
        </w:r>
      </w:hyperlink>
    </w:p>
    <w:p w:rsidR="00582C13" w:rsidRDefault="00582C13" w:rsidP="00582C13"/>
    <w:p w:rsidR="00582C13" w:rsidRDefault="00582C13" w:rsidP="00582C13">
      <w:pPr>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t>Урегулирован порядок зачета и возврата платы за негативное воздействие на окружающую среду</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2 сентября 2019</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Определен порядок зачета и возврата сумм излишне уплаченной (взысканной) платы за негативное воздействие на окружающую среду (НВОС) (приказ Росприроднадзора от 20 июня 2019 г. № 334).</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xml:space="preserve">Переплата подлежит зачету в счет будущего периода или возврату плательщику. Для этого необходимо подать заявление. К заявлению следует приложить подписанный без разногласий территориальным органом Росприроднадзора и плательщиком акт сверки расчетов сумм платы за НВОС </w:t>
      </w:r>
      <w:r>
        <w:rPr>
          <w:rFonts w:ascii="Times New Roman" w:hAnsi="Times New Roman" w:cs="Times New Roman"/>
          <w:sz w:val="28"/>
          <w:szCs w:val="28"/>
        </w:rPr>
        <w:lastRenderedPageBreak/>
        <w:t>и копию доверенности, если заявление подписывает представитель плательщика. Приведены рекомендуемые образцы таких заявлений и акта.</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Направить заявление в территориальный орган Росприроднадзора лучше через Интернет в виде электронного документа, подписанного простой электронной подписью. Но если такой возможности нет, его можно подать на бумажном носителе при личном визите или направить по почте (с описью вложения и уведомлением о вручении).</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Переплату могут зачесть и в счет авансовых платежей текущего периода, – если в заявлении о зачете сумм излишне уплаченной (взысканной) платы в счет будущего отчетного периода плательщик сделает пометку об этом.</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Зачет переплаты производится по тем КБК и кодам ОКТМО, по которым плательщик исчислял и вносил плату.</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Возврат производится только после зачета сумм излишне уплаченной платы в счет погашения задолженности, пеней, начисленных на сумму задолженности, в случае наличия у плательщика таких задолженностей.</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Зачет или возврат переплаты осуществляется без начисления процентов на данную сумму.</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Решение о возврате или зачете сумм излишне уплаченной (взысканной) платы принимается на основе результатов проверки представленной лицом, обязанным вносить плату, декларации о плате и сведениях, имеющихся в распоряжении у территориального органа Росприроднадзора. Если информация, указанная плательщиком в заявлении, этим сведениям не соответствует, в зачете/возврате откажут.</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Решение территориального органа Росприроднадзора об отказе в зачете или возврате сумм излишне уплаченной (взысканной) платы за НВОС может быть оспорено лицом, обязанным вносить плату, в судебном порядке.</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Приказ вступил в силу 7 сентября 2019 года.</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xml:space="preserve">Источник: </w:t>
      </w:r>
      <w:hyperlink r:id="rId8" w:history="1">
        <w:r>
          <w:rPr>
            <w:rStyle w:val="a3"/>
            <w:rFonts w:ascii="Times New Roman" w:hAnsi="Times New Roman" w:cs="Times New Roman"/>
            <w:sz w:val="28"/>
            <w:szCs w:val="28"/>
          </w:rPr>
          <w:t>https://www.garant.ru/news/1290820/</w:t>
        </w:r>
      </w:hyperlink>
    </w:p>
    <w:p w:rsidR="00582C13" w:rsidRDefault="00582C13" w:rsidP="00582C13">
      <w:pPr>
        <w:rPr>
          <w:rFonts w:ascii="Times New Roman" w:hAnsi="Times New Roman" w:cs="Times New Roman"/>
          <w:sz w:val="28"/>
          <w:szCs w:val="28"/>
        </w:rPr>
      </w:pPr>
    </w:p>
    <w:p w:rsidR="00582C13" w:rsidRDefault="00582C13" w:rsidP="00582C13">
      <w:pPr>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t>Банк России ограничил размер комиссии при оплате товаров и услуг через Систему быстрых платежей</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2 сентября 2019</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Речь идет о комиссии, которую банки смогут взимать с торгово-сервисных предприятий при оплате товаров и услуг через Систему быстрых платежей (СБП). Совет директоров Банка России утвердил диапазон такой комиссии в пределах 0-0,7% от суммы платежа в зависимости от вида деятельности предприятия. Об этом сообщается на официальном сайте регулятора.</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xml:space="preserve">Решено не взимать комиссию при платежах в пользу государства (например, при уплате штрафов, налогов, пени и т. п.) и при платежах физлиц за любые товары или услуги через СПБ. В свою очередь, для массовых платежей (включая оплату услуг медицинских и образовательных учреждений, оплату услуг ЖКХ, телекоммуникационных, информационных и почтовых услуг, потребительских товаров и товаров повседневного спроса, оплату услуг страховых компаний и т. д.) максимальный размер комиссии, взимаемой с юрлиц, составит 0,4%. Для остальных платежей комиссия определена в </w:t>
      </w:r>
      <w:r>
        <w:rPr>
          <w:rFonts w:ascii="Times New Roman" w:hAnsi="Times New Roman" w:cs="Times New Roman"/>
          <w:sz w:val="28"/>
          <w:szCs w:val="28"/>
        </w:rPr>
        <w:lastRenderedPageBreak/>
        <w:t>размере 0,7% от суммы платежа. Тарифы начнут действовать с 1 октября 2019 года.</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С 1 января 2020 года будет снижена с 50 коп. до 5 коп. нижняя граница тарифов2 Банка России для участников СБП по операциям в системе. При этом до конца текущего года установлен льготный период – без взимания платы с банков-участников за операции в СБП. Эта мера позволит повысить заинтересованность банков в продвижении СБП.</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СБП представляет собой сервис, который позволяет физическим лицам мгновенно (в режиме 24/7) переводить деньги по номеру мобильного телефона себе или другим лицам, вне зависимости от того, в каком банке открыты счета отправителя или получателя средств. Для этого необходимо, чтобы эти банки были подключены к СБП.</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По словам первого заместителя Председателя Банка России Ольги Скоробогатовой, реализация возможности оплаты товаров и услуг через СБП – значимый этап развития системы. "С одной стороны, он предоставит нашим гражданам еще один удобный и доступный инструмент оплаты покупок и сервисов, с другой – будет способствовать росту безналичных платежей. Данный инструмент также позволит торговым предприятиям сократить издержки и предложить новые программы лояльности для клиентов", – отметила она, подчеркнув, что заинтересованность в этом механизме наблюдается как со стороны банков, так и со стороны торговых сетей.</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xml:space="preserve">Источник: </w:t>
      </w:r>
      <w:hyperlink r:id="rId9" w:history="1">
        <w:r>
          <w:rPr>
            <w:rStyle w:val="a3"/>
            <w:rFonts w:ascii="Times New Roman" w:hAnsi="Times New Roman" w:cs="Times New Roman"/>
            <w:sz w:val="28"/>
            <w:szCs w:val="28"/>
          </w:rPr>
          <w:t>https://www.garant.ru/news/1291112/</w:t>
        </w:r>
      </w:hyperlink>
    </w:p>
    <w:p w:rsidR="00582C13" w:rsidRDefault="00582C13" w:rsidP="00582C13">
      <w:pPr>
        <w:rPr>
          <w:rFonts w:ascii="Times New Roman" w:hAnsi="Times New Roman" w:cs="Times New Roman"/>
          <w:sz w:val="28"/>
          <w:szCs w:val="28"/>
        </w:rPr>
      </w:pPr>
    </w:p>
    <w:p w:rsidR="00582C13" w:rsidRDefault="00582C13" w:rsidP="00582C13">
      <w:pPr>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t>Расторгнув контракт, заключенный до 1 июля, заказчик вправе заключить контракт со вторым участником без проведения новой закупки</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2 сентября 2019</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С 1 июля вступила в силу новая ч. 17.1 ст.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Она позволяет заказчику в случае расторжения контракта с победителем конкурентной закупки заключить контракт со вторым участником этой закупки (письмо Минфина России от 13 августа 2019 г. № 24-03-08/61168).</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Специалисты Минфина России указали, что положения этой нормы распространяются в том числе на контракты, заключенные до 1 июля 2019 года.</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xml:space="preserve">Источник: </w:t>
      </w:r>
      <w:hyperlink r:id="rId10" w:history="1">
        <w:r>
          <w:rPr>
            <w:rStyle w:val="a3"/>
            <w:rFonts w:ascii="Times New Roman" w:hAnsi="Times New Roman" w:cs="Times New Roman"/>
            <w:sz w:val="28"/>
            <w:szCs w:val="28"/>
          </w:rPr>
          <w:t>https://www.garant.ru/news/1291123/</w:t>
        </w:r>
      </w:hyperlink>
    </w:p>
    <w:p w:rsidR="00582C13" w:rsidRDefault="00582C13" w:rsidP="00582C13">
      <w:pPr>
        <w:rPr>
          <w:rFonts w:ascii="Times New Roman" w:hAnsi="Times New Roman" w:cs="Times New Roman"/>
          <w:b/>
          <w:bCs/>
          <w:sz w:val="28"/>
          <w:szCs w:val="28"/>
          <w:u w:val="single"/>
        </w:rPr>
      </w:pPr>
    </w:p>
    <w:p w:rsidR="00582C13" w:rsidRDefault="00582C13" w:rsidP="00582C13">
      <w:pPr>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t>Минфин России разъяснил особенности применения инвестиционного вычета</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3 сентября 2019</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xml:space="preserve">Налоговым законодательством предусмотрено право организаций на применение инвестиционного вычета для уменьшения суммы налога на прибыль, зачисляемой в бюджеты субъектов РФ (п. 1 ст. 286.1 Налогового </w:t>
      </w:r>
      <w:r>
        <w:rPr>
          <w:rFonts w:ascii="Times New Roman" w:hAnsi="Times New Roman" w:cs="Times New Roman"/>
          <w:sz w:val="28"/>
          <w:szCs w:val="28"/>
        </w:rPr>
        <w:lastRenderedPageBreak/>
        <w:t>кодекса). При этом субъектом РФ должно быть установлен такое право (подп. 1 п. 6 ст. 286.1 НК РФ). Размер вычета тоже ограничен – он может составить не более 90% суммы расходов текущего периода (подп. 1 п. 2 ст. 286.1, подп. 2 п. 2 ст. 286.1 НК РФ). Нижняя же граница налоговым законодательством не определена – организация может самостоятельно установить размер инвестиционного вычета в размере меньшем 90% соответствующих расходов.</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Но в отношении объектов, по которым был использован вычет, действует ряд ограничений. Так, например, объекты основных средств в части их первоначальной стоимости, сформированной за счет расходов, понесенных в случаях приобретения, создания, сооружения, достройки, дооборудования, реконструкции, модернизации, технического перевооружения не подлежат амортизации (п. 7 ст. 286.1 НК РФ). Также вышеуказанные расходы не учитываются при определении налоговой базы по налогу на прибыль (п. 5.1 ст. 286.1 НК РФ).</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Минфин России поясняет в своем письме, решение об использовании права на применение инвестиционного налогового вычета применяется налогоплательщиком ко всем объектам основных средств, относящимся к третьей-седьмой амортизационным группам, и отражается в учетной политике для целей налогообложения (письмо Департамента налоговой и таможенной политики Минфина России от 12 августа 2019 г. № 03-03-05/60626).</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Министерство напоминает, что с 1 января 2020 г. решение об использовании права на применение инвестиционного налогового вычета принимается налогоплательщиком, имеющим обособленные подразделения, отдельно по каждому субъекту РФ, на территории которого расположены такие обособленные подразделения.</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Право на инвестиционный вычет начинает действовать с начала очередного налогового периода. В месте с тем, налогоплательщик может изменить свое решение и отказаться от применения вычета по истечении трех последовательных налоговых периодов применения такого решения (п. 8 ст. 286.1 НК РФ). Отказавшись от решения об использовании права на применение инвестиционного налогового вычета, принять решение о повторном использовании права на применение инвестиционного налогового вычета возможно также по истечении аналогичного периода времени.</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Как поясняет Минфин России, в случае принятия решения об отказе от использования права на применение инвестиционного налогового вычета (истечения срока действия инвестиционного налогового вычета) налогоплательщик утрачивает право уменьшать суммы налога на прибыль организаций на неучтенную сумму расходов по соответствующим объектам основных средств, а также начислять амортизацию по таким объектам основных средств (в соответствующей части расходов, произведенных в периоде применения инвестиционного налогового вычета).</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xml:space="preserve">Источник: </w:t>
      </w:r>
      <w:hyperlink r:id="rId11" w:history="1">
        <w:r>
          <w:rPr>
            <w:rStyle w:val="a3"/>
            <w:rFonts w:ascii="Times New Roman" w:hAnsi="Times New Roman" w:cs="Times New Roman"/>
            <w:sz w:val="28"/>
            <w:szCs w:val="28"/>
          </w:rPr>
          <w:t>https://www.garant.ru/news/1291166/</w:t>
        </w:r>
      </w:hyperlink>
    </w:p>
    <w:p w:rsidR="00582C13" w:rsidRDefault="00582C13" w:rsidP="00582C13"/>
    <w:p w:rsidR="00582C13" w:rsidRDefault="00582C13" w:rsidP="00582C13">
      <w:pPr>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lastRenderedPageBreak/>
        <w:t>Госдума разъяснила, как инициатива становится законом</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4 сентября 2019</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На официальном сайте нижней палаты парламента появилось разъяснение. В нем поясняется, кто имеет право внести законопроект на рассмотрение Госдумы, сколько чтений проходит документ и в чем особенности каждой из них, кто подписывает финальный вариант текста.</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Не каждая инициатива становится законом. Также перечисляются лица, которым принадлежит право законодательной инициативы. К ним относятся Президент РФ, Совет Федерации, члены Совета Федерации, депутаты Госдумы, Правительство РФ, законодательные (представительные) органы субъектов РФ. Законопроекты могут инициировать Конституционный Суд Российской Федерации и Верховный Суд Российской Федерации – однако только по вопросам, касающимся их ведения (ст. 104 Конституции Российской Федерации).</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Поступающий в Госдуму законопроект и материалы к нему направляются на имя Председателя Госдумы, регистрируются в Управлении документационного обеспечения Аппарата Госдумы в Системе автоматизированного делопроизводства и документооборота Госдумы с присвоением уникального регистрационного номера. В свою очередь, в Системе обеспечения законодательной деятельности на документ заводится электронная регистрационная карта, в которой отражается необходимая информации о проекте (начиная с даты его поступления, списка инициаторов и сведений о прохождении в Госдуме и заканчивая данными об одобрении Госдумой или о принятии и рассмотрении соответствующего закона Советом Федерации и о подписании Президентом РФ).</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Затем документы направляются в профильный комитет, который проверяет их на соответствие установленным требованиям, после чего поступают в Совет Госдумы. Последний может вернуть законопроект профильному комитету или инициатору, либо сразу включить его в примерную программу работы Госдумы, назначив при этом ответственный за документ комитет (или несколько комитетов), который проведет основную работу над законопроектом (с привлечением экспертов, представителей профессиональных и научных сообществ, созданием рабочих групп для анализа предложений по совершенствованию инициативы, проведением парламентских слушаний, круглых столов и т. д.). Рассмотренный ответственным комитетом и рекомендованный к принятию или отклонению депутатами законопроект подлежит рассмотрению на пленарных заседаниях.</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Процесс рассмотрения законопроекта в Госдуме включает три стадии:</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первое чтение (рассматривается концепция законопроекта, оценивается его актуальность и практическая значимость, соответствие Конституции РФ, заслушивается доклад разработчика документа и проводится голосование за его принятие в первом чтении – если не будет собрано достаточное количество голосов, то законопроект будет считаться отклоненным);</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xml:space="preserve">- второе чтение (предусматривает более детальное обсуждение законопроекта с различными вариантами поправок, составленными </w:t>
      </w:r>
      <w:r>
        <w:rPr>
          <w:rFonts w:ascii="Times New Roman" w:hAnsi="Times New Roman" w:cs="Times New Roman"/>
          <w:sz w:val="28"/>
          <w:szCs w:val="28"/>
        </w:rPr>
        <w:lastRenderedPageBreak/>
        <w:t>ответственным комитетом в виде таблиц, в случае принятия законопроекта во втором чтении он направляется в ответственный комитет для устранения возможных противоречий, установления правильной взаимосвязи статей и для редакционной правки, а после этого вместе с заключением Правового управления Аппарата Госдумы представляется ответственным комитетом в Совет Госдумы, который включает его в проект порядка работы Госдумы для рассмотрения в третьем чтении);</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третье чтение (заслушивается доклад представителя ответственного комитета, выступления фракций, проводится голосование за принятие документа в целом).</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Одобренные Госдумой федеральные конституционные законы и принятые федеральные законы с соответствующими постановлениями Госдумы, стенограммами пленарных заседаний, заключениями Правительства РФ и иными сопутствующими материалами оформляются ответственным комитетом совместно с Аппаратом Госдумы и в течение пяти дней передаются на рассмотрение Совета Федерации. Обязательному рассмотрению верхней палатой парламента подлежат федеральные конституционные законы, законы о поправках в Конституцию РФ, финансовые законы, законы о ратификации и денонсации международных договоров РФ, а также законы по вопросам войны и мира, статуса и защиты госграницы. Остальные законы Совет Федерации может не рассматривать и не обсуждать – это будет означать согласие с их принятием.</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Последним этапом является подписание и обнародование закона Президентом РФ в течение 14 дней после поступления документа из Совета Федерации. Если глава государства отклонит закон, то обе палаты парламента будут рассматривать его повторно. При этом, если федеральный закон будет одобрен в ранее принятой редакции большинством, не менее 2/3 голосов от общего числа членов Совета Федерации и депутатов Госдумы, то Президент должен будет подписать его и обнародовать в течение семи дней.</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Федеральные конституционные законы и федеральные законы подлежат официальному опубликованию в течение семи дней после момента их подписания Президентом. Что касается вступления законов в силу, то, по общему правилу, они начинают действовать через 10 дней после официального опубликования. Однако в самом документе может быть указан иной срок вступления его в силу (в виде конкретной даты или периода, по истечении которого нормы закона начнут действовать).</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xml:space="preserve">Источник: </w:t>
      </w:r>
      <w:hyperlink r:id="rId12" w:history="1">
        <w:r>
          <w:rPr>
            <w:rStyle w:val="a3"/>
            <w:rFonts w:ascii="Times New Roman" w:hAnsi="Times New Roman" w:cs="Times New Roman"/>
            <w:sz w:val="28"/>
            <w:szCs w:val="28"/>
          </w:rPr>
          <w:t>https://www.garant.ru/news/1291321/</w:t>
        </w:r>
      </w:hyperlink>
    </w:p>
    <w:p w:rsidR="00582C13" w:rsidRDefault="00582C13" w:rsidP="00582C13">
      <w:pPr>
        <w:rPr>
          <w:rFonts w:ascii="Times New Roman" w:hAnsi="Times New Roman" w:cs="Times New Roman"/>
          <w:sz w:val="28"/>
          <w:szCs w:val="28"/>
        </w:rPr>
      </w:pPr>
    </w:p>
    <w:p w:rsidR="00582C13" w:rsidRDefault="00582C13" w:rsidP="00582C13">
      <w:pPr>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t>Подтверждать командировочные расходы можно и электронными документами</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4 сентября 2019</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О порядке оформления первичных учетных документов для целей налогообложения рассказал Минфин России в своем письме (письмо Департамента налоговой и таможенной политики Минфина России от 8 августа 2019 г. № 03-03-06/1/59877).</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lastRenderedPageBreak/>
        <w:t>Обязанность работодателя возмещать работнику расходы при направлении его в служебную командировку установлена трудовым законодательством (ст. 168 Трудового кодекса). К таким ним можно отнести расходы по проезду, по найму жилого помещения, дополнительные расходы, связанные с проживанием вне места постоянного жительства (суточные), а также иные расходы, произведенные работником с разрешения или ведома работодателя.</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В налоговом учете такие затраты относят к прочим, связанным с производством и реализацией (подп. 12 п. 1 ст. 264 Налогового кодекса). При этом они должны быть документально подтверждены (п. 1 ст. 252 НК РФ).</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Как напоминает Минфин России, документы, свидетельствующие о фактически осуществленных затратах при пребывании работника в служебной командировке, должны быть оформлены в соответствии с законодательством Российской Федерации.</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Документы, используемые при оказании услуг по перевозке пассажиров и багажа автомобильным транспортом и городским наземным электрическим транспортом, должны содержать установленные реквизиты (установлены правилами перевозок пассажиров и багажа автомобильным транспортом и городским наземным электрическим транспортом, утв. постановлением Правительства РФ от 14 февраля 2009 г. № 112). При этом они могут быть составлены как в бумажном, так и в электронном виде (п. 5 ст. 9 Федерального закона от 6 декабря 2011 г. № 402-ФЗ). При этом законодательством также установлено, что информация в электронной форме, подписанная простой электронной подписью или усиленной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(ст. 6 Федерального закона от 6 апреля 2011 г. № 63-ФЗ)</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По мнению министерства, расходы работника в командировке могут быть учтены организацией в составе прочих расходов, связанных с производством или реализацией, в случае их оформления документами не только в бумажном виде, но и в электронном, при условии обоснованности таких расходов.</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xml:space="preserve">Источник: </w:t>
      </w:r>
      <w:hyperlink r:id="rId13" w:history="1">
        <w:r>
          <w:rPr>
            <w:rStyle w:val="a3"/>
            <w:rFonts w:ascii="Times New Roman" w:hAnsi="Times New Roman" w:cs="Times New Roman"/>
            <w:sz w:val="28"/>
            <w:szCs w:val="28"/>
          </w:rPr>
          <w:t>https://www.garant.ru/news/1291322/</w:t>
        </w:r>
      </w:hyperlink>
    </w:p>
    <w:p w:rsidR="00582C13" w:rsidRDefault="00582C13" w:rsidP="00582C13"/>
    <w:p w:rsidR="00582C13" w:rsidRDefault="00582C13" w:rsidP="00582C13">
      <w:pPr>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t>Вместо заключения отдельного договора автокаско предлагается вносить информацию о нем в полис ОСАГО</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4 сентября 2019</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Урегулировать такое объединение ОСАГО и каско планируется отдельным Указанием Банка России, проект которого уже подготовлен, о чем сообщается на официальном сайте регулятора.</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Документом установлены минимальные (стандартные) требования к условиям и порядку осуществления добровольного страхования средств наземного транспорта, ответственность владельцев которых застрахована по договору ОСАГО, и в страховом полисе указаны сведения о заключении договора добровольного страхования. Они касаются, в частности:</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lastRenderedPageBreak/>
        <w:t>объекта добровольного страхования – им являются имущественные интересы, связанные с риском утраты (гибели) и (или) повреждения транспортного средства, ответственность владельца которого застрахована по договору обязательного страхования;</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размера страховой суммы по договору добровольного страхования – он должен соответствовать действительной стоимости застрахованного транспортного средства в месте его нахождения в день заключения договора добровольного страхования;</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возможности установления в договоре добровольного страхования по соглашению сторон франшизы в размере не более 20% от страховой суммы;</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порядка указания сведений о заключении договора добровольного страхования в страховом полисе ОСАГО – в данном случае необходимо руководствоваться п. 9 формы страхового полиса ОСАГО, установленной приложением 3 к Положению Банка России от 19 сентября 2014 г. № 431-П "О правилах обязательного страхования гражданской ответственности владельцев транспортных средств".</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Указывается, что срок страхования по договору каско должен соответствовать сроку страхования, предусмотренному договором ОСАГО. Предполагается, что в случае досрочного прекращения договора ОСАГО будет прекращаться с той же даты и договор добровольного страхования. При этом возврат страхователю части страховой премии по договору добровольного страхования будет производиться страховщиком пропорционально сроку страхования. А при отказе страхователя от договора добровольного страхования, в т. ч. в связи с отказом от договора обязательного страхования, в установленный срок страховщик должен будет вернуть страхователю страховую премию или ее часть по договору добровольного страхования.</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Если проект Указания будет одобрен, то соответствующий документ вступит в силу через 10 дней после официального опубликования. Ожидается, что предлагаемые нормы позволят сделать заключение договора автокаско более удобным как для потребителей, так и для страховщиков.</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xml:space="preserve">Источник: </w:t>
      </w:r>
      <w:hyperlink r:id="rId14" w:history="1">
        <w:r>
          <w:rPr>
            <w:rStyle w:val="a3"/>
            <w:rFonts w:ascii="Times New Roman" w:hAnsi="Times New Roman" w:cs="Times New Roman"/>
            <w:sz w:val="28"/>
            <w:szCs w:val="28"/>
          </w:rPr>
          <w:t>https://www.garant.ru/news/1291456/</w:t>
        </w:r>
      </w:hyperlink>
    </w:p>
    <w:p w:rsidR="00582C13" w:rsidRDefault="00582C13" w:rsidP="00582C13">
      <w:pPr>
        <w:rPr>
          <w:rFonts w:ascii="Times New Roman" w:hAnsi="Times New Roman" w:cs="Times New Roman"/>
          <w:sz w:val="28"/>
          <w:szCs w:val="28"/>
        </w:rPr>
      </w:pPr>
    </w:p>
    <w:p w:rsidR="00582C13" w:rsidRDefault="00582C13" w:rsidP="00582C13">
      <w:pPr>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t>Срок выдачи разрешения на строительство могут сократить с 7 до 5 рабочих дней</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5 сентября 2019</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xml:space="preserve">Соответствующие поправки планируется ввести в действие с 1 января 2020 года. Они предусмотрены правительственным законопроектом, направленным на повышение качества оказания государственных и муниципальных услуг в сфере строительства. </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xml:space="preserve">Предлагается унифицировать порядок предоставления уполномоченными органами государственной власти и органами местного самоуправления государственных и муниципальных услуг в сфере строительства. Для этого планируется утвердить единые стандарты предоставления государственных и </w:t>
      </w:r>
      <w:r>
        <w:rPr>
          <w:rFonts w:ascii="Times New Roman" w:hAnsi="Times New Roman" w:cs="Times New Roman"/>
          <w:sz w:val="28"/>
          <w:szCs w:val="28"/>
        </w:rPr>
        <w:lastRenderedPageBreak/>
        <w:t>муниципальных услуг, предусмотренных нормативными правовыми актами и включенных в исчерпывающие перечни процедур в сферах строительства.</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При этом в Федеральном законе от 27 июля 2010 г. № 210-ФЗ "Об организации предоставления государственных и муниципальных услуг" может быть конкретизирован состав сведений, включаемых в единый стандарт. Помимо общих сведений, отражаемых в стандарте предоставления государственной или муниципальной услуги (наименования услуги, результата и сроков ее предоставления, перечня необходимых документов и т. п.), в едином стандарте дополнительно будут указаны:</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заявитель (состав (перечень) заявителей);</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способ (способы) направления запроса о предоставлении государственной или муниципальной услуги;</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размер платы, взимаемой с заявителя при предоставлении услуги, и способы ее взимания;</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порядок получения заявителем сведений (в т.ч. в электронной форме) о ходе рассмотрения запроса о предоставлении государственной или муниципальной услуги;</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порядок исправления технических ошибок, допущенных в документе, выданном по результатам предоставления услуги, включая исчерпывающий перечень оснований для отказа в исправлении технических ошибок;</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порядок выдачи дубликата документа, выданного по результатам предоставления государственной или муниципальной услуги, в т. ч. исчерпывающий перечень оснований для отказа в выдаче такого дубликата;</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порядок отзыва (отмены) запроса о предоставлении государственной или муниципальной услуги;</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форма запроса о предоставлении государственной или муниципальной услуги, форма документа, являющегося результатом предоставления соответствующей услуги, формы заявления об исправлении технических ошибок в указанном документе, заявления о выдаче дубликата такого документа, заявления об оставлении запроса без рассмотрения, если иное не предусмотрено федеральным законом;</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иные сведения, в т. ч. устанавливающие особенности предоставления государственных и муниципальных услуг в электронной форме и в МФЦ.</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В случае одобрения инициативы федеральным органам исполнительной власти будет разрешено разрабатывать в пределах установленной сферы деятельности методические рекомендации по утверждению административных регламентов предоставления государственных и муниципальных услуг, предусмотренных нормативными правовыми актами РФ и включенных в исчерпывающие перечни процедур в сферах строительства.</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Предлагаемые поправки будут способствовать более эффективному исполнению полномочий органов госвласти субъектов РФ и органов местного самоуправления в области градостроительной деятельности.</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xml:space="preserve">Источник: </w:t>
      </w:r>
      <w:hyperlink r:id="rId15" w:history="1">
        <w:r>
          <w:rPr>
            <w:rStyle w:val="a3"/>
            <w:rFonts w:ascii="Times New Roman" w:hAnsi="Times New Roman" w:cs="Times New Roman"/>
            <w:sz w:val="28"/>
            <w:szCs w:val="28"/>
          </w:rPr>
          <w:t>https://www.garant.ru/news/1291475/</w:t>
        </w:r>
      </w:hyperlink>
    </w:p>
    <w:p w:rsidR="00582C13" w:rsidRDefault="00582C13" w:rsidP="00582C13">
      <w:pPr>
        <w:rPr>
          <w:rFonts w:ascii="Times New Roman" w:hAnsi="Times New Roman" w:cs="Times New Roman"/>
          <w:sz w:val="28"/>
          <w:szCs w:val="28"/>
        </w:rPr>
      </w:pP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lastRenderedPageBreak/>
        <w:t>Разработаны новые правила формирования, утверждения и размещения в ЕИС планов-графиков закупок</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5 сентября 2019</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Минфин России в связи с изменением порядка планирования закупок, предусмотренного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подготовил проект соответствующего постановления Правительства РФ об утверждении Правил формирования, утверждения и размещения в ИС планов-графиков закупок1 (далее – проект). Документ, в частности, предусматривает правила формирования, утверждения, изменения плана-графика, требования к его содержанию, перечень заказчиков, на которых распространяется обязанность по ведению указанного документа и т. д.</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В соответствии с проектом предполагается установить, что по общему правилу план-график формируется в форме электронного документа по приведенной в приложении к проекту форме и утверждается посредством подписания усиленной квалифицированной электронной подписью лица, имеющего право действовать от имени заказчика. При этом в план-график включается информация о закупках, извещения об осуществлении которых планируется разместить в очередном финансовом году и (или) плановом периоде, а также о закупках у единственных контрагентов, контракты с которыми планируются к заключению в течение указанного периода.</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Предлагается установить, что планы-графики подлежат изменению при необходимости в следующих случаях:</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предусмотренных п. 1-4 ч. 8 ст. 16 Закона № 44-ФЗ (в редакции, действующей с 1 октября 2019 года);</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уточнения информации об объекте закупки, в том числе путем выделения отдельных строк при детализации информации о коде ОКПД 2;</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исполнения предписания органов контроля;</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признания определения контрагента несостоявшимся;</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расторжения контракта;</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возникновения иных обстоятельств, предвидеть которые при утверждении плана-графика было невозможно.</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Планируется признать утратившими силу ряд нормативных правовых актов.</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Напомним, с 1 октября 2019 года нормы Закона № 44-ФЗ, обязывающие заказчиков формировать план закупок, больше не действуют (п. 4-8 ст. 1, ч. 4 ст. 2 Федерального закона от 1 мая 2019 г. № 71-ФЗ). Соответственно, планы закупок на 2020 год уже не формируются.</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xml:space="preserve">Источник: </w:t>
      </w:r>
      <w:hyperlink r:id="rId16" w:history="1">
        <w:r>
          <w:rPr>
            <w:rStyle w:val="a3"/>
            <w:rFonts w:ascii="Times New Roman" w:hAnsi="Times New Roman" w:cs="Times New Roman"/>
            <w:sz w:val="28"/>
            <w:szCs w:val="28"/>
          </w:rPr>
          <w:t>https://www.garant.ru/news/1291499/</w:t>
        </w:r>
      </w:hyperlink>
    </w:p>
    <w:p w:rsidR="00582C13" w:rsidRDefault="00582C13" w:rsidP="00582C13">
      <w:pPr>
        <w:rPr>
          <w:rFonts w:ascii="Times New Roman" w:hAnsi="Times New Roman" w:cs="Times New Roman"/>
          <w:sz w:val="28"/>
          <w:szCs w:val="28"/>
        </w:rPr>
      </w:pPr>
    </w:p>
    <w:p w:rsidR="00582C13" w:rsidRDefault="00582C13" w:rsidP="00582C13">
      <w:pPr>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t>ФНС России разъяснила особенности налогообложения недвижимости упрощенцев</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5 сентября 2019</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lastRenderedPageBreak/>
        <w:t>Налоговая служба пояснила некоторые нюансы обложения налогом на имущество недвижимости организаций, применяющих УСН (письмо ФНС России от 8 августа 2019 г. № СД-19-21/221).</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Налоговым законодательством установлено, что применяющие УСН налогоплательщики освобождаются от уплаты налога на имущество. Исключение составляют только те объекты, налоговая база по которым определяется как их кадастровая стоимость (п. 2 ст. 346.1 Налогового кодекса). В частности это касается следующих объектов недвижимости:</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административно-деловые центры и торговые центры (комплексы) и помещения в них;</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нежилые помещения, назначение, разрешенное использование или наименование которых в соответствии со сведениями, содержащимися в ЕГРН,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(п. 1 ст. 378.2 НК РФ).</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Административно-деловым центром признается отдельно стоящее нежилое здание (строение, сооружение), помещения в котором принадлежат одному или нескольким собственникам и которое отвечает хотя бы одному из следующих условий:</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расположено на земельном участке, один из видов разрешенного использования которого предусматривает размещение офисных зданий делового, административного и коммерческого назначения;</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предназначено для использования или фактически используется в целях делового, административного и коммерческого назначения (п. 3 ст. 378.2 НК РФ).</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Условием применения кадастровой стоимости в целях налогообложения объектов недвижимого имущества является включение их в соответствующий перечень, который используется налоговыми органами при администрировании налога на имущество организаций.</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При исключении объекта недвижимости из такого перечня налоговая база в отношении него в соответствующем налоговом периоде определяется как среднегодовая стоимость.</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xml:space="preserve">Источник: </w:t>
      </w:r>
      <w:hyperlink r:id="rId17" w:history="1">
        <w:r>
          <w:rPr>
            <w:rStyle w:val="a3"/>
            <w:rFonts w:ascii="Times New Roman" w:hAnsi="Times New Roman" w:cs="Times New Roman"/>
            <w:sz w:val="28"/>
            <w:szCs w:val="28"/>
          </w:rPr>
          <w:t>https://www.garant.ru/news/1291480/</w:t>
        </w:r>
      </w:hyperlink>
    </w:p>
    <w:p w:rsidR="00582C13" w:rsidRDefault="00582C13" w:rsidP="00582C13"/>
    <w:p w:rsidR="00582C13" w:rsidRDefault="00582C13" w:rsidP="00582C13">
      <w:pPr>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t>Утверждена отчетность СМО и ТФОМС об объемах и стоимости "взрослой" диспансеризации</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5 сентября 2019</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ФФОМС России утвердил форму отчетности об объемах и стоимости первичной медико-санитарной помощи в части диспансеризации (оконченный первый этап), профосмотров, диспансерного наблюдения (приказ ФФОМС России от 23 июля 2019 г. № 152).</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lastRenderedPageBreak/>
        <w:t>Отчетность составляются нарастающим итогом и должна представляться ежемесячно:</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от СМО – в ТФОМСы до 15 числа каждого месяца,</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от ТФОМСов – в ФФОМС России до 17 числа каждого месяца.</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xml:space="preserve">Источник: </w:t>
      </w:r>
      <w:hyperlink r:id="rId18" w:history="1">
        <w:r>
          <w:rPr>
            <w:rStyle w:val="a3"/>
            <w:rFonts w:ascii="Times New Roman" w:hAnsi="Times New Roman" w:cs="Times New Roman"/>
            <w:sz w:val="28"/>
            <w:szCs w:val="28"/>
          </w:rPr>
          <w:t>https://www.garant.ru/news/1291486/</w:t>
        </w:r>
      </w:hyperlink>
    </w:p>
    <w:p w:rsidR="00582C13" w:rsidRDefault="00582C13" w:rsidP="00582C13">
      <w:pPr>
        <w:rPr>
          <w:rFonts w:ascii="Times New Roman" w:hAnsi="Times New Roman" w:cs="Times New Roman"/>
          <w:b/>
          <w:bCs/>
          <w:sz w:val="28"/>
          <w:szCs w:val="28"/>
          <w:u w:val="single"/>
        </w:rPr>
      </w:pPr>
    </w:p>
    <w:p w:rsidR="00582C13" w:rsidRDefault="00582C13" w:rsidP="00582C13">
      <w:pPr>
        <w:rPr>
          <w:b/>
          <w:bCs/>
          <w:u w:val="single"/>
        </w:rPr>
      </w:pPr>
    </w:p>
    <w:p w:rsidR="00582C13" w:rsidRDefault="00582C13" w:rsidP="00582C13">
      <w:pPr>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t>ПФР разработал памятку по электронным трудовым книжкам</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5 сентября 2019</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На официальном сайте ПФР появился соответствующий материал. В нем разъясняются преимущества и особенности перехода на электронные трудовые книжки, включая новые обязанности работодателей в связи с таким переходом, а также приводятся ответы на актуальные вопросы по этой теме.</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Подчеркивается, что электронная трудовая книжка будет существовать только в цифровом формате без физического носителя. Граждане смогут ознакомиться со сведениями, отраженными в ней, через личный кабинет на сайте ПФР или на портале госуслуг, либо через специальное приложение для смартфонов. При необходимости сведения из электронной трудовой книжки можно будет получить и в виде бумажной выписки – ее можно запросить у нынешнего или бывшего работодателя (по последнему месту работы), а также в управлении ПФР или в МФЦ. Причем такая услуга будет предоставляться экстерриториально (без привязки к месту жительства или работы человека).</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В числе преимуществ электронной трудовой книжки ПРФ выделяет следующие:</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удобный и быстрый доступ работников к информации о трудовой деятельности;</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минимизация ошибочных, неточных и недостоверных сведений о трудовой деятельности;</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дополнительные возможности дистанционного трудоустройства;</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снижение издержек работодателей на приобретение, ведение и хранение бумажных трудовых книжек;</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дистанционное оформление пенсий по данным лицевого счета без дополнительного документального подтверждения;</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использование данных электронной трудовой книжки для получения государственных услуг;</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новые возможности аналитической обработки данных о трудовой деятельности для работодателей и госорганов;</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высокий уровень безопасности и сохранности данных.</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xml:space="preserve">"Для всех работающих граждан переход к новому формату сведений о трудовой деятельности добровольный и будет осуществляться только с согласия человека", – подчеркивается в материале. Исключение предусмотрено только для тех, кто впервые устроится на работу с 2021 года – у них все сведения о периодах работы изначально будут вестись только в электронном виде без оформления бумажной трудовой книжки. Остальные </w:t>
      </w:r>
      <w:r>
        <w:rPr>
          <w:rFonts w:ascii="Times New Roman" w:hAnsi="Times New Roman" w:cs="Times New Roman"/>
          <w:sz w:val="28"/>
          <w:szCs w:val="28"/>
        </w:rPr>
        <w:lastRenderedPageBreak/>
        <w:t>граждане, желающие сохранить бумажную трудовую книжку, смогут в течение следующего года подать об этом заявление работодателю. Для последних наряду с электронной книжкой сведения о трудовой деятельности также будут вноситься и в бумажную версию документа. Все остальные россияне получат свои бумажные книжки на руки и сведения об их трудовой деятельности начиная с 2021 года будут формироваться только в цифровом формате.</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Разъясняются также новые обязанности работодателя, связанные с переходом на электронные трудовые книжки. С 1 января 2020 года они должны будут ежемесячно представлять в ПФР сведения о трудовой деятельности, которые лягут в основу формирования электронных трудовых книжек. Также им следует письменно проинформировать работников о соответствующих изменениях в трудовом законодательстве и праве на сохранение бумажной трудовой. При этом с 1 января 2021 года в случаях приема на работу или увольнения сведения о трудовой деятельности должны будут представляться организацией-работодателем в ПФР не позднее рабочего дня, следующего за днем издания документа, являющегося основанием для приема на работу или увольнения.</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В материале приводятся ответы на актуальные вопросы, связанные с электронными трудовыми книжками. Речь идет о возможности сохранения бумажной книжки, о порядке предоставления работодателем сведений в ПФР, защите баз данных ПФР, способах получения сведений из электронной книжки. Часть вопросов касается содержания электронной трудовой книжки (по составу данных она практически идентична бумажной), способа предъявления электронной трудовой при устройстве на работу (информация представляется работодателю либо в распечатанном виде, либо в электронной форме с цифровой подписью), фиксации информации о трудовой деятельности при увольнении (в данном случае работодатель будет обязан выдать сведения о трудовой деятельности либо на бумаге, либо в электронном виде, а при сохранении бумажной трудовой книжки – зафиксировать данные в ней).</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xml:space="preserve">ГАРАНТ.РУ: </w:t>
      </w:r>
      <w:hyperlink r:id="rId19" w:anchor="ixzz5zXQYUwv7" w:history="1">
        <w:r>
          <w:rPr>
            <w:rStyle w:val="a3"/>
            <w:rFonts w:ascii="Times New Roman" w:hAnsi="Times New Roman" w:cs="Times New Roman"/>
            <w:sz w:val="28"/>
            <w:szCs w:val="28"/>
          </w:rPr>
          <w:t>http://www.garant.ru/news/1291613/#ixzz5zXQYUwv7</w:t>
        </w:r>
      </w:hyperlink>
    </w:p>
    <w:p w:rsidR="00582C13" w:rsidRDefault="00582C13" w:rsidP="00582C13"/>
    <w:p w:rsidR="00582C13" w:rsidRDefault="00582C13" w:rsidP="00582C13">
      <w:pPr>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t>Правительство РФ поддержало идею снижения возраста выхода на негосударственную пенсию</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6 сентября 2019</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Как сообщается на официальном сайте Госдумы, кабинет министров дал положительный отзыв на законопроект, предусматривающий соответствующие поправки в Федеральный закон от 7 мая 1998 г. № 75-ФЗ "О негосударственных пенсионных фондах" (далее  – Закон № 75-ФЗ). Документ был инициирован группой депутатов в конце мая текущего года.</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xml:space="preserve">Изменения предусматривают снижение возраста для выхода на негосударственную пенсию на пять лет. В случае одобрения инициативы женщины смогут получать такую пенсию по достижении возраста 55 лет, а мужчины – 60 лет. Предполагается, что такая мера позволит улучшить </w:t>
      </w:r>
      <w:r>
        <w:rPr>
          <w:rFonts w:ascii="Times New Roman" w:hAnsi="Times New Roman" w:cs="Times New Roman"/>
          <w:sz w:val="28"/>
          <w:szCs w:val="28"/>
        </w:rPr>
        <w:lastRenderedPageBreak/>
        <w:t>благосостояние граждан предпенсионного возраста, поскольку выплаты из негосударственных пенсионных фондов (НПФ) в течение пяти лет до выхода на государственную пенсию будут "хорошим подспорьем и дополнением к зарплате".</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По действующему законодательству россияне имеют равные пенсионные основания для выплат как страховой пенсии по старости, так и пенсии для участников НПФ. В частности, обязательным основанием для пенсионных выплат гражданам, заключившим договоры с НПФ после 1 января 2019 года, является достижение ими возраста 60 и 65 лет для женщин и мужчин соответственно (п. 7 ст. 36.37 Закона № 75-ФЗ, ч. 1 ст. 8 Федерального закона от 28 декабря 2013 г. № 400-ФЗ "О страховых пенсиях").</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Также в числе предлагаемых поправок:</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гарантии назначения негосударственной пенсии в еще более раннем возрасте для инвалидов, работников Крайнего Севера и других лиц, имеющих право на досрочное получение страховых пенсий из ПФР;</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исключение из перечня пенсионных оснований для получения выплат из НПФ условия о наличии страхового стажа (продолжительности трудового стажа и других видов деятельности, в течение которых уплачивались страховые взносы в ПФР).</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Улучшение условий участия граждан в НПФ повысит востребованность такого института, а также осведомленность людей о дополнительных возможностях обеспечения достойной жизни по завершении трудовой деятельности. "Наша задача – создать правовой механизм, при котором у трудящегося человека в нашей стране всегда будет законное право и комплекс доступных, прозрачных и понятных ему способов встретить старость уверенно, спокойно и благополучно", – подчеркивают инициаторы поправок.</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xml:space="preserve">ГАРАНТ.РУ: </w:t>
      </w:r>
      <w:hyperlink r:id="rId20" w:history="1">
        <w:r>
          <w:rPr>
            <w:rStyle w:val="a3"/>
            <w:rFonts w:ascii="Times New Roman" w:hAnsi="Times New Roman" w:cs="Times New Roman"/>
            <w:sz w:val="28"/>
            <w:szCs w:val="28"/>
          </w:rPr>
          <w:t>http://www.garant.ru/news/1291641</w:t>
        </w:r>
      </w:hyperlink>
    </w:p>
    <w:p w:rsidR="00582C13" w:rsidRDefault="00582C13" w:rsidP="00582C13"/>
    <w:p w:rsidR="00582C13" w:rsidRDefault="00582C13" w:rsidP="00582C13">
      <w:pPr>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t>Выездная проверка не может затрагивать налоги, не упомянутые в решении о ее проведении</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6 сентября 2019</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Налоговый орган по итогам выездной налоговой проверки доначислил налогоплательщику НДС и налог на прибыль в связи с отсутствием реальных операций с контрагентами (постановление Арбитражного суда Центрального округа от 3 июля 2019 г. № Ф10-2392/19).</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Налогоплательщик полагает, что налоговый орган при вынесении решения вышел за пределы проверки. Суд, исследовав обстоятельства дела, с доводами налогоплательщика согласился.</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Неуказание в решении о проведении проверки конкретных налогов и сборов, по которым она проводится, влечет нарушение прав и законных интересов налогоплательщика.</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xml:space="preserve">Кроме того, проверяя доводы налогоплательщика о фальсификации доказательств, представленных инспекцией, суд назначил экспертизу, согласно заключению которой часть листов решения о проведении проверки </w:t>
      </w:r>
      <w:r>
        <w:rPr>
          <w:rFonts w:ascii="Times New Roman" w:hAnsi="Times New Roman" w:cs="Times New Roman"/>
          <w:sz w:val="28"/>
          <w:szCs w:val="28"/>
        </w:rPr>
        <w:lastRenderedPageBreak/>
        <w:t>оказалась напечатанной на другом принтере, а также была произведена замена листа.</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Суд указал, что налоговый орган, доначисляя НДС и налог на прибыль, пени и штрафы, вышел за пределы предмета выездной налоговой проверки (проверка НДФЛ), указанного в решении, направленном налогоплательщику по ТКС.</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xml:space="preserve">Источник: </w:t>
      </w:r>
      <w:hyperlink r:id="rId21" w:history="1">
        <w:r>
          <w:rPr>
            <w:rStyle w:val="a3"/>
            <w:rFonts w:ascii="Times New Roman" w:hAnsi="Times New Roman" w:cs="Times New Roman"/>
            <w:sz w:val="28"/>
            <w:szCs w:val="28"/>
          </w:rPr>
          <w:t>https://www.garant.ru/news/1291648/</w:t>
        </w:r>
      </w:hyperlink>
    </w:p>
    <w:p w:rsidR="00582C13" w:rsidRDefault="00582C13" w:rsidP="00582C13">
      <w:pPr>
        <w:rPr>
          <w:rFonts w:ascii="Times New Roman" w:hAnsi="Times New Roman" w:cs="Times New Roman"/>
          <w:sz w:val="28"/>
          <w:szCs w:val="28"/>
        </w:rPr>
      </w:pPr>
    </w:p>
    <w:p w:rsidR="00582C13" w:rsidRDefault="00582C13" w:rsidP="00582C13">
      <w:pPr>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t>Бизнес-омбудсмен предлагает согласовывать некоторые оперативно-розыскные мероприятия с прокуратурой</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6 сентября 2019</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С таким предложением Уполномоченный при Президенте РФ по защите прав предпринимателей Борис Титов выступил в рамках Восточного экономического форума. Об этом сообщается на официальном сайте правозащитника.</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xml:space="preserve">Он инициирует внесение в Федеральный закон от 12 августа 1995 г. № 144-ФЗ "Об оперативно-розыскной деятельности" изменений, касающихся введения обязательного согласования с прокуратурой гласных оперативно-розыскных мероприятий. Речь идет об обследованиях помещений (включая полицейские проверки офисов), зданий, сооружений, участков местности и транспортных средств. При этом оговаривается, что в случаях, которые не терпят отлагательства и могут привести к совершению тяжкого или особо тяжкого преступления, достаточно будет обязательного уведомления прокуратуры в течение 48 часов. "Это позволит сократить число осмотров, проводимых без достаточных оснований и по неконкретным объектам", – уверен Борис Титов. </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Также уполномоченный считает целесообразным расширить перечень прав прокурора, предусмотрев возможность:</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утверждения прокурором постановления о возбуждении уголовного дела;</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прекращения уголовного дела при наличии оснований, предусмотренных Уголовно-процессуальным кодексом;</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вынесения по результатам рассмотрения обвинительного заключения решения о прекращении уголовного преследования при наличии оснований, установленных в УПК РФ;</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согласования прокурором ходатайства следствия о заключении под стражу или домашнего ареста, а также продления срока применения этих мер пресечения.</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"Роль прокуратуры должна быть шире. Она должна являться заказчиком следствия и иметь возможность влиять на него на всех этапах, если обнаружены процессуальные нарушения", – резюмировал омбудсмен.</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xml:space="preserve">Источник: </w:t>
      </w:r>
      <w:hyperlink r:id="rId22" w:history="1">
        <w:r>
          <w:rPr>
            <w:rStyle w:val="a3"/>
            <w:rFonts w:ascii="Times New Roman" w:hAnsi="Times New Roman" w:cs="Times New Roman"/>
            <w:sz w:val="28"/>
            <w:szCs w:val="28"/>
          </w:rPr>
          <w:t>http://www.garant.ru/news/1291666/</w:t>
        </w:r>
      </w:hyperlink>
    </w:p>
    <w:p w:rsidR="00582C13" w:rsidRDefault="00582C13" w:rsidP="00582C13">
      <w:pPr>
        <w:rPr>
          <w:rFonts w:ascii="Times New Roman" w:hAnsi="Times New Roman" w:cs="Times New Roman"/>
          <w:sz w:val="28"/>
          <w:szCs w:val="28"/>
        </w:rPr>
      </w:pPr>
    </w:p>
    <w:p w:rsidR="00582C13" w:rsidRDefault="00582C13" w:rsidP="00582C13">
      <w:pPr>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t>Описание медицинских критериев рождения будет скорректировано</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6 сентября 2019</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lastRenderedPageBreak/>
        <w:t>Минздрав России планирует изменить медицинские критерии рождения. Согласно проекту критерием рождения планируется признавать следующие:</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срок беременности 22 недели и более при массе тела ребенка при рождении 500 грамм и более (или менее 500 грамм при многоплодных родах) или в случае, если масса тела ребенка при рождении неизвестна, при длине тела ребенка при рождении 25 см и более;</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срок беременности менее 22 недель или масса тела ребенка при рождении менее 500 грамм, или в случае, если масса тела ребенка при рождении неизвестна, длина тела ребенка при рождении менее 25 см, – при продолжительности жизни более 168 часов после рождения (7 суток).</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Напомним, что применяемые в настоящий момент критерии срока беременности более 22 недель, массы тела более 500 г и длины тела более 25 см являются независимыми друг от др</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xml:space="preserve">Источник: </w:t>
      </w:r>
      <w:hyperlink r:id="rId23" w:history="1">
        <w:r>
          <w:rPr>
            <w:rStyle w:val="a3"/>
            <w:rFonts w:ascii="Times New Roman" w:hAnsi="Times New Roman" w:cs="Times New Roman"/>
            <w:sz w:val="28"/>
            <w:szCs w:val="28"/>
          </w:rPr>
          <w:t>http://www.garant.ru/news/</w:t>
        </w:r>
        <w:r>
          <w:rPr>
            <w:rStyle w:val="a3"/>
            <w:color w:val="auto"/>
            <w:u w:val="none"/>
          </w:rPr>
          <w:t xml:space="preserve"> </w:t>
        </w:r>
        <w:r>
          <w:rPr>
            <w:rStyle w:val="a3"/>
            <w:rFonts w:ascii="Times New Roman" w:hAnsi="Times New Roman" w:cs="Times New Roman"/>
            <w:sz w:val="28"/>
            <w:szCs w:val="28"/>
          </w:rPr>
          <w:t>1291792/</w:t>
        </w:r>
      </w:hyperlink>
    </w:p>
    <w:p w:rsidR="00582C13" w:rsidRDefault="00582C13" w:rsidP="00582C13"/>
    <w:p w:rsidR="00582C13" w:rsidRDefault="00582C13" w:rsidP="00582C13">
      <w:pPr>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t>Банк России снизил ключевую ставку до 7% годовых</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6 сентября 2019</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xml:space="preserve">На очередном заседании Совета директоров Банк России принял решение снизить размер ключевой ставки с 7,25% до 7% годовых. Новый показатель будет применяться начиная с 9 сентября текущего года. </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xml:space="preserve">Это третья корректировка размера ключевой ставки в сторону уменьшения в 2019 году. Ранее Банк России уже дважды снижал его: первый раз – с 7,75% до 7,5% (такой размер действовал с 17 июня по 28 июля), а второй раз – с 7,5% до 7,25% (эти показатели актуальны для периода с 29 июля по 8 сентября). </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По данным Банка России, продолжается замедление инфляции (прогноз годовой инфляции по итогам 2019 года снижен с 4,2-4,7 до 4-4,5%). "При этом инфляционные ожидания остаются на повышенном уровне. Темпы роста российской экономики по-прежнему складываются ниже ожиданий Банка России", – отмечается в сообщении регулятора.</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Следующее заседание по пересмотру размера ключевой ставки назначено на 25 октября 2019 года.</w:t>
      </w:r>
    </w:p>
    <w:p w:rsidR="00582C13" w:rsidRDefault="00582C13" w:rsidP="00582C13">
      <w:pPr>
        <w:rPr>
          <w:rFonts w:ascii="Times New Roman" w:hAnsi="Times New Roman" w:cs="Times New Roman"/>
          <w:sz w:val="28"/>
          <w:szCs w:val="28"/>
        </w:rPr>
      </w:pPr>
      <w:r>
        <w:rPr>
          <w:rFonts w:ascii="Times New Roman" w:hAnsi="Times New Roman" w:cs="Times New Roman"/>
          <w:sz w:val="28"/>
          <w:szCs w:val="28"/>
        </w:rPr>
        <w:t xml:space="preserve">Источник: </w:t>
      </w:r>
      <w:hyperlink r:id="rId24" w:history="1">
        <w:r>
          <w:rPr>
            <w:rStyle w:val="a3"/>
            <w:rFonts w:ascii="Times New Roman" w:hAnsi="Times New Roman" w:cs="Times New Roman"/>
            <w:sz w:val="28"/>
            <w:szCs w:val="28"/>
          </w:rPr>
          <w:t>http://www.garant.ru/news/1291666/</w:t>
        </w:r>
      </w:hyperlink>
    </w:p>
    <w:p w:rsidR="00582C13" w:rsidRDefault="00582C13" w:rsidP="00582C13">
      <w:pPr>
        <w:rPr>
          <w:rFonts w:ascii="Times New Roman" w:hAnsi="Times New Roman" w:cs="Times New Roman"/>
          <w:sz w:val="28"/>
          <w:szCs w:val="28"/>
        </w:rPr>
      </w:pPr>
    </w:p>
    <w:p w:rsidR="00CC0969" w:rsidRDefault="00CC0969">
      <w:bookmarkStart w:id="0" w:name="_GoBack"/>
      <w:bookmarkEnd w:id="0"/>
    </w:p>
    <w:sectPr w:rsidR="00CC0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06"/>
    <w:rsid w:val="00582C13"/>
    <w:rsid w:val="00CC0969"/>
    <w:rsid w:val="00DF7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73CC6-450B-450E-9B4F-268E9807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C13"/>
    <w:pPr>
      <w:spacing w:after="0" w:line="240"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2C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30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news/1290820/" TargetMode="External"/><Relationship Id="rId13" Type="http://schemas.openxmlformats.org/officeDocument/2006/relationships/hyperlink" Target="https://www.garant.ru/news/1291322/" TargetMode="External"/><Relationship Id="rId18" Type="http://schemas.openxmlformats.org/officeDocument/2006/relationships/hyperlink" Target="https://www.garant.ru/news/1291486/"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garant.ru/news/1291648/" TargetMode="External"/><Relationship Id="rId7" Type="http://schemas.openxmlformats.org/officeDocument/2006/relationships/hyperlink" Target="https://www.garant.ru/news/1291124/" TargetMode="External"/><Relationship Id="rId12" Type="http://schemas.openxmlformats.org/officeDocument/2006/relationships/hyperlink" Target="https://www.garant.ru/news/1291321/" TargetMode="External"/><Relationship Id="rId17" Type="http://schemas.openxmlformats.org/officeDocument/2006/relationships/hyperlink" Target="https://www.garant.ru/news/129148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arant.ru/news/1291499/" TargetMode="External"/><Relationship Id="rId20" Type="http://schemas.openxmlformats.org/officeDocument/2006/relationships/hyperlink" Target="http://www.garant.ru/news/1291641" TargetMode="External"/><Relationship Id="rId1" Type="http://schemas.openxmlformats.org/officeDocument/2006/relationships/styles" Target="styles.xml"/><Relationship Id="rId6" Type="http://schemas.openxmlformats.org/officeDocument/2006/relationships/hyperlink" Target="http://www.garant.ru/news/1290722/" TargetMode="External"/><Relationship Id="rId11" Type="http://schemas.openxmlformats.org/officeDocument/2006/relationships/hyperlink" Target="https://www.garant.ru/news/1291166/" TargetMode="External"/><Relationship Id="rId24" Type="http://schemas.openxmlformats.org/officeDocument/2006/relationships/hyperlink" Target="http://www.garant.ru/news/1291666/" TargetMode="External"/><Relationship Id="rId5" Type="http://schemas.openxmlformats.org/officeDocument/2006/relationships/hyperlink" Target="https://www.garant.ru/news/1290717/" TargetMode="External"/><Relationship Id="rId15" Type="http://schemas.openxmlformats.org/officeDocument/2006/relationships/hyperlink" Target="https://www.garant.ru/news/1291475/" TargetMode="External"/><Relationship Id="rId23" Type="http://schemas.openxmlformats.org/officeDocument/2006/relationships/hyperlink" Target="http://www.garant.ru/news/1291666/" TargetMode="External"/><Relationship Id="rId10" Type="http://schemas.openxmlformats.org/officeDocument/2006/relationships/hyperlink" Target="https://www.garant.ru/news/1291123/" TargetMode="External"/><Relationship Id="rId19" Type="http://schemas.openxmlformats.org/officeDocument/2006/relationships/hyperlink" Target="http://www.garant.ru/news/1291613/" TargetMode="External"/><Relationship Id="rId4" Type="http://schemas.openxmlformats.org/officeDocument/2006/relationships/hyperlink" Target="https://www.garant.ru/news/1290985/" TargetMode="External"/><Relationship Id="rId9" Type="http://schemas.openxmlformats.org/officeDocument/2006/relationships/hyperlink" Target="https://www.garant.ru/news/1291112/" TargetMode="External"/><Relationship Id="rId14" Type="http://schemas.openxmlformats.org/officeDocument/2006/relationships/hyperlink" Target="https://www.garant.ru/news/1291456/" TargetMode="External"/><Relationship Id="rId22" Type="http://schemas.openxmlformats.org/officeDocument/2006/relationships/hyperlink" Target="http://www.garant.ru/news/12916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7013</Words>
  <Characters>39975</Characters>
  <Application>Microsoft Office Word</Application>
  <DocSecurity>0</DocSecurity>
  <Lines>333</Lines>
  <Paragraphs>93</Paragraphs>
  <ScaleCrop>false</ScaleCrop>
  <Company/>
  <LinksUpToDate>false</LinksUpToDate>
  <CharactersWithSpaces>46895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ZhaboMA</dc:creator>
  <cp:keywords/>
  <dc:description/>
  <cp:lastModifiedBy>ZhaboMA</cp:lastModifiedBy>
  <cp:revision>3</cp:revision>
  <dcterms:created xsi:type="dcterms:W3CDTF">2019-09-16T05:46:00Z</dcterms:created>
  <dcterms:modified xsi:type="dcterms:W3CDTF">2019-09-16T05:47:00Z</dcterms:modified>
</cp:coreProperties>
</file>