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Опубликована Концепция нового КоАП РФ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Ее текст сегодня появился на официальном сайте Правительства РФ. Концепция содержит общие ориентиры реформирования КоАП РФ и акценты на проблемные моменты, требующие разрешения при его модернизации. В числе наиболее значимых концептуальных положений можно выделить следующие: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категоризация административных правонарушений в зависимости от характера и степени их общественной вредности;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установление административной ответственности, соразмерной характеру и степени общественной вредности противоправного деяния, с учетом общего риск-ориентированного подхода при осуществлении мероприятий госконтроля (надзора) и применении мер административного принуждения;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выделение в качестве самостоятельного субъекта административных правонарушений ИП;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установление в качестве обстоятельства, исключающего противоправность деяния, наряду с крайней необходимостью такого обстоятельства, как физическое или психическое принуждение;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уточнение содержания конфискации имущества как вида административного наказания;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исключение административного приостановления деятельности из перечня видов административных наказаний и отнесение его к мерам обеспечения производства по делам об административных правонарушениях, а также сокращение предельного срока применения административного приостановления деятельности;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исключение возможности назначения нескольких административных наказаний при одновременном выявлении однородных правонарушений, ответственность за которые предусмотрена одной статьей Особенной части КоАП РФ;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установление общего правила назначения гражданам административного наказания в виде предупреждения за впервые совершенные административные правонарушения, не являющиеся грубыми, при отсутствии отягчающих обстоятельств;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уточнение сроков давности привлечения к административной ответственности с установлением максимального срока давности в два года (за исключением ряда случаев);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закрепление возможности замены одного вида наказания на другой без нового рассмотрения дела по существу в случаях, когда исполнение назначенного наказания невозможно по объективным причинам;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регулирование особенностей административной ответственности несовершеннолетних от 16 до 18 лет в специальной главе КоАП РФ;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введение упрощенного механизма исполнения постановлений о назначении административных штрафов на суммы, не превышающие 10 тыс. руб., направляемых для принудительного исполнения в ФССП России в форме электронного документа, исключающего возбуждение исполнительного производства (в автоматическом режиме исключительно за счет денежных средств, находящихся на счетах должника в банке и иной кредитной организации);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недопущение одновременного привлечения юрлица и его работника к административной ответственности за одни и те же действия (за исключением ряда случаев) и т. д.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Концепции упоминается о необходимости обеспечения участникам производства по делу об административном правонарушении возможности получения информации о стадии производства по делу, о времени и месте составления протокола, рассмотрения и пересмотра дела или совершения отдельного действия по делу с использованием Интернета (при наличии у органа административной юрисдикции технической возможности). Также в документе содержатся концептуальные положения, касающиеся разграничения полномочий в области законодательства об административных правонарушениях, действия закона во времени, уточнения понятийного аппарата, расширения принципов административной ответственности и т. п.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Поскольку реформу КоАП РФ решено проводить синхронно с реформой контрольно-надзорной деятельности, новый кодекс планируется ввести в действие с 1 января 2021 года.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4" w:anchor="ixzz5r3KAANA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http://www.garant.ru/news/1276518/#ixzz5r3KAANA8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ВС РФ утвердил обзор судебной практики по личному страхованию заемщиков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Обзоре сформулированы, в частности, следующие правовые позиции.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отношения между банком и заемщиком, заключившим договор добровольного личного страхования в связи с предоставлением потребительского кредита, а также на отношения между наследниками заемщика и страховщиком распространяется законодательство о защите прав потребителей.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подключении заемщика к программе добровольного страхования до сведения потребителя должна быть доведена информация о характере оказываемых финансовых услуг, об условиях их оплаты, в том числе информация о праве на отказ от участия в программе страхования.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заемщика, подключенного банком к программе страхования, распространяются правила о "периоде охлаждения", предоставляющие возможность в установленный срок отказаться от договора страхования с возвратом всей уплаченной денежной суммы или – в зависимости от обстоятельств дела – ее части.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общему правилу, досрочное погашение заемщиком кредита само по себе не является основанием для возврата части уплаченной страховой премии за неистекший период страхования.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в случаях, когда по условиям договора страхования размер страховой суммы приравнивается к остатку задолженности по кредитному договору, при полном погашении кредита договор страхования прекращается, а заемщик имеет право на возврат соответствующей части страховой премии.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инвалидности за пределами срока действия договора страхования не может служить основанием для отказа страховщика в выплате страхового возмещения, если заболевание, в связи с которым установлена инвалидность, возникло в период действия договора.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Обзор включен также ряд иных правовых позиций, в том числе неоднократно высказывавшийся ВС РФ тезис о том, что проценты за пользование кредитом и неустойка, начисленные заемщику за период просрочки страховой выплаты в пользу банка, могут быть взысканы заемщиком со страховщика в качестве убытков.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Верховный Суд Российской Федерации напомнил, что действующим законодательством не предусмотрен обязательный досудебный порядок урегулирования спора по требованиям, возникающим из договора добровольного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личного страхования. С 28 ноября 2019 года потребитель финансовых услуг вправе заявлять в судебном порядке требования к страховщику по такому договору только после рассмотрения спора финансовым омбудсменом (Обзор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 (утв. Президиумом ВС РФ 5 июня 2019 г.).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5" w:anchor="ixzz5r3QjDTfx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http://www.garant.ru/news/1276403/#ixzz5r3QjDTfx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20 июня состоится "Прямая линия с Владимиром Путиным"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Ежегодная специальная программа "Прямая линия с Владимиром Путиным" выйдет в эфир на следующей неделе (в четверг) в 12.00 по московскому времени. В ходе ее проведения Президент РФ ответит на вопросы граждан, касающиеся общественно-политической и социально-экономической жизни страны, а также международной обстановки.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Традиционно задать свой вопрос главе государства можно любым удобным способом: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позвонить в Единый центр обработки сообщений по номеру +7-800-200-40-40 (звонки принимаются из любой точки России, причем они бесплатны как с городских, так и с мобильных телефонов);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позвонить из-за границы в центр обработки сообщений по телефонам +7-499-550-40-40, +7-495-539-40-40;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задать вопрос в виде бесплатных SMS и MMS-сообщений на номер 0-40-40 (такая услуга доступна только для абонентов российских операторов связи и при условии, что вопрос сформулирован на русском языке, а его объем не превышает 70 знаков);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отправить вопрос через сайт moskva-putinu.ru (москва-путину.рф);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послать текстовый вопрос или видеоролик через официальные группы в социальных сетях vk.com/moskvaputinu и ok.ru/moskvaputinu;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вопрос через официальное мобильное приложение "Москва–Путину";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выйти на прямую видеосвязь со студией непосредственно во время эфира через приложения "Москва–Путину" и "ОК Live".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Прямую трансляцию программы "Прямая линия с Владимиром Путиным" будут вести телеканалы "Первый", "Россия 1", "Россия 24", "НТВ", "ОТР", "Мир", а также радиостанции "Маяк", "Вести FM" и "Радио России". При этом вопросы будут приниматься вплоть до окончания программы. 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"Прямая линия с Владимиром Путиным" проводится с 2001 года. И каждый год глава государства утверждает перечень поручений по ее итогам.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6" w:anchor="ixzz5r3PimNUN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http://www.garant.ru/news/1276362/#ixzz5r3PimNUN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Минтруд России планирует в следующем году оставить допустимые доли иностранных работников на том же уровне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Минтруд России разработал проект постановления Правительства РФ, устанавливающего допустимые доли иностранных работников, используемых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хозяйствующими субъектами, осуществляющими деятельность в отдельных видах экономической деятельности на территории РФ.</w:t>
      </w:r>
    </w:p>
    <w:p w:rsidR="007C45FE" w:rsidRDefault="007C45FE" w:rsidP="007C45FE">
      <w:pPr>
        <w:spacing w:after="255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 ведомстве предлагают сохранить те же ограничения, которые 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lang w:eastAsia="ru-RU"/>
          </w:rPr>
          <w:t>установлены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на текущий год. Изменения коснутся лишь действия некоторых ограничений в пространстве.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093"/>
        <w:gridCol w:w="1668"/>
        <w:gridCol w:w="1432"/>
      </w:tblGrid>
      <w:tr w:rsidR="007C45FE" w:rsidTr="007C45FE">
        <w:tc>
          <w:tcPr>
            <w:tcW w:w="3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экономической деятельности (код по ОКВЭД)</w:t>
            </w:r>
          </w:p>
        </w:tc>
        <w:tc>
          <w:tcPr>
            <w:tcW w:w="33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Допустимая доля иностранных работников (в % от общей численности работников)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Регионы, в которых ограничение не применяется</w:t>
            </w:r>
          </w:p>
        </w:tc>
      </w:tr>
      <w:tr w:rsidR="007C45FE" w:rsidTr="007C45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5FE" w:rsidRDefault="007C45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5FE" w:rsidRDefault="007C45F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(проект)</w:t>
            </w:r>
          </w:p>
        </w:tc>
      </w:tr>
      <w:tr w:rsidR="007C45FE" w:rsidTr="007C45FE"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выращивание овощей (код </w:t>
            </w:r>
            <w:hyperlink r:id="rId8" w:anchor="block_1131" w:history="1">
              <w:r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01.13.1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)*(1)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Приморский край</w:t>
            </w:r>
          </w:p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Астраханская область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C45FE" w:rsidTr="007C45FE"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(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раздел F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)*(2)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Хабаровский край</w:t>
            </w:r>
          </w:p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Амурская область</w:t>
            </w:r>
          </w:p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 Москва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Республика Бурятия Амурская область</w:t>
            </w:r>
          </w:p>
          <w:p w:rsidR="007C45FE" w:rsidRDefault="007C45FE">
            <w:pPr>
              <w:spacing w:after="25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</w:tr>
    </w:tbl>
    <w:p w:rsidR="007C45FE" w:rsidRDefault="007C45FE" w:rsidP="007C45FE">
      <w:pPr>
        <w:spacing w:after="2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Под иностранными работниками в Федеральном законе от 25 июля 2002 г. № 115-ФЗ "О правовом положении иностранных граждан в Российской Федерации" понимаются иностранные граждане, временно пребывающие в РФ и осуществляющие в установленном порядке трудовую деятельность. В отношении иных иностранных граждан рассматриваемые ограничения не применяются (см. письмо Минтруда России от 6 апреля 2018 г. № 14-2/ООГ-2166, письмо Минздравсоцразвития России от 25 апреля 2007 г. № 1109-17, письмо Росздравнадзора от 21 декабря 2006 г. № 01И-984/06). Высшее должностное лицо субъекта РФ (руководитель высшего исполнительного органа государственной власти субъекта РФ) вправе ежегодно с учетом региональных особенностей рынка труда и необходимости в приоритетном порядке трудоустройства граждан РФ устанавливать запрет на привлечение хозяйствующими субъектами, осуществляющими деятельность на территории субъекта РФ, иностранных граждан, осуществляющих трудовую деятельность на основании патентов, по отдельным видам экономической деятельности.</w:t>
      </w:r>
    </w:p>
    <w:p w:rsidR="007C45FE" w:rsidRDefault="007C45FE" w:rsidP="007C45FE">
      <w:pPr>
        <w:spacing w:after="2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ГАРАНТ.РУ: </w:t>
      </w:r>
      <w:hyperlink r:id="rId10" w:anchor="ixzz5r3Kqkcz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http://www.garant.ru/news/1276413/#ixzz5r3Kqkcz4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Законопроект об освобождении от НДФЛ доходов граждан, полученных по "ипотечным каникулам" подготовлен ко второму чтению в Госдуме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Первоначальный вариант проекта предусматривал лишь внесение изменений в статью Налогового кодекса, касающуюся определения материальной выгоды. К доходам плательщика относилась экономия на процентах за пользование заемными средствами в связи с изменением по требованию заемщика – физлица условий кредитного договора, предусматривающим приостановление исполнения последним своих обязательств либо уменьшение размера платежей.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обновленном законопроекте предлагается четко прописать в НК РФ, что вышеуказанная материальная выгода доходом налогоплательщика не признается. Предлагается распространить действие этого положения только в течение льготного периода, составляющего не более шести месяцев.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установить в качестве необлагаемых доходы, полученные гражданином при реализации мер государственной поддержки семей, имеющих детей.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Законопроектом предусмотрено, что поправки вступят в силу уже с 1 августа 2019 года.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Недавно был подписан Федеральный закон, предусматривающий введение "ипотечных каникул", т. е. предоставление заемщикам, привлекшим ипотечные кредиты и попавшим в трудную жизненную ситуацию, права обратиться к кредитору с требованием об установлении "льготного периода" сроком до шести месяцев, в рамках которого по выбору заемщика может быть приостановлено исполнение обязательств либо уменьшен размер периодических платежей заемщика по ипотечному кредиту (Федеральный закон от 1 мая 2019 г. № 76-ФЗ 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заемщика", вступает в силу с 31 июля 2019 г.).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1" w:anchor="ixzz5r35z8sbm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http://www.garant.ru/news/1276656/#ixzz5r35z8sbm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В начале июля аудиторские организации должны направить в ФНС России сведения для Единого реестра субъектов МСП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ФНС России напомнила, что 1 декабря 2018 года вступили в силу изменения в Федеральный закон от 24 июля 2007 г. № 209-ФЗ "О развитии малого и среднего предпринимательства в Российской Федерации", которыми помимо прочего предусмотрено участие аудиторских организаций в ведении Единого реестра субъектов малого и среднего предпринимательства (информация ФНС России от 7 июня 2019 г.).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ведения указанного реестра аудиторские организации должны представлять в ФНС России перечень ООО, участниками которых являются иностранные организации, доход и среднесписочная численность работников которых за предшествующий календарный год не превышают предельных значений, установленных для средних предприятий (за исключением офшорных компаний).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Передавать эти данные аудиторские организации обязаны ежегодно с 1 по 5 июля (включительно) через сайт Службы.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2" w:anchor="ixzz5r3HwAFvD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http://www.garant.ru/news/1276552/#ixzz5r3HwAFvD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Правила освидетельствования водителей на состояние опьянения могут скорректировать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МВД России вынесло соответствующий проект постановления на общественное обсуждение (оно продлится до 25 июня).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предварительной проверке сотрудниками Госавтоинспекции состояния водителя предлагается дополнительно учитывать показания приборов (средств), свидетельствующих об обнаружении наличия алкоголя или наркотических веществ. Речь идет о тесте на наличие алкоголя в выдыхаемом воздухе, определяемом техническим средством индикации, и экспресс-тесте на обнаружение наркотических веществ в слюне.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признак планируется применять наряду с уже установленными признаками, предполагающими, что водитель транспортного средства находится в состоянии опьянения (запах алкоголя изо рта, неустойчивость позы, нарушение речи, резкое изменение окраски кожных покровов лица, поведение, не соответствующее обстановке) (п.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утв. постановлением Правительства РФ от 26 июня 2008 г. № 475).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одного или нескольких признаков является основанием для последующей процедуры проведения сотрудником полиции освидетельствования на состояние алкогольного опьянения с использованием технических средств измерения, обеспечивающих запись результатов исследования на бумажном носителе или направления водителя на медосвидетельствование на состояние опьянения.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Поправки позволят сотрудникам полиции оперативно осуществлять предварительную проверку водителей транспортных средств, не ограничиваясь только органолептическими методами, в т. ч. выявлять пьяных водителей в случаях неочевидности наличия у них характерных признаков алкогольного или наркотического опьянения, либо при обстоятельствах, затрудняющих установление таких признаков. При этом подчеркивается, что отказ водителя от такой проверки не повлечет для него никаких правовых последствий. 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3" w:anchor="ixzz5r3Oi5AYe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http://www.garant.ru/news/1276677/#ixzz5r3Oi5AYe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Субъектам, которые перестали отвечать условиям отнесения к субъектам МСП, могут сохранить право на получение господдержки в течение двух лет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России планирует усовершенствовать порядок отнесения хозяйствующих субъектов к субъектам малого и среднего предпринимательства. Ведомство подготовило соответствующие поправки в Федеральный закон от 24 июля 2007 г. № 209-ФЗ "О развитии малого и среднего предпринимательства в Российской Федерации" (далее – Закон № 209-ФЗ).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дополнить ст. 4 Закона № 209-ФЗ нормой, предусматривающей возможность для хозяйствующих субъектов, которые в период между датами ежегодного обновления сведений единого реестра субъектов МСП перестали отвечать условиям отнесения к субъектам МСП, сохранить свой прежний статус на </w:t>
      </w:r>
      <w:r>
        <w:rPr>
          <w:rFonts w:ascii="Times New Roman" w:hAnsi="Times New Roman" w:cs="Times New Roman"/>
          <w:sz w:val="26"/>
          <w:szCs w:val="26"/>
        </w:rPr>
        <w:lastRenderedPageBreak/>
        <w:t>срок до двух календарных лет. При этом конкретный срок сохранения такого статуса должен быть указан в реестре.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Планируется, что первое внесение сведений о таких субъектах МСП в реестр будет осуществлено 10 числа месяца, следующего за месяцем, в котором вступят в силу предлагаемые поправки, на основе сведений, имеющихся у ФНС России по состоянию на 1 число этого месяца.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направлены на обеспечение стабильности ведения предпринимательской деятельности хозяйствующими субъектами, сведения о которых внесены в реестр, в переходный период развития их бизнеса. Ожидается, что их принятие позволит сохранить за такими субъектами право на получение поддержки со стороны органов государственной власти и местного самоуправления, АО "Корпорация "МСП" и организаций инфраструктуры поддержки субъектов МСП, а также на участие в закупках крупнейших заказчиков.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Законопроект направлен на независимую антикоррупционную экспертизу, которая продлится до 19 июня. 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4" w:anchor="ixzz5r3IQNPfT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http://www.garant.ru/news/1277128/#ixzz5r3IQNPfT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Данные о состоянии индивидуальных лицевых счетов в системе ОПС можно получить в ПФР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ПФР утвердил регламент, согласно которому устанавливается порядок предоставления гражданам информации о состоянии их индивидуальных лицевых счетов в системе ОПС (постановление Правления ПФР от 27 февраля 2019 г. № 100п, далее – Постановление). Документ вступает в силу с 21 июня 2019 года.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Застрахованное лицо может воспользоваться государственной услугой либо лично, либо через своего законного или уполномоченного представителя.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получить сведения, необходимо составить запрос по установленной форме (утв. Постановлением), в котором гражданин указывает свои личные данные (в том числе дату рождения и страховой номер (СНИЛС), а также паспорт или иной документ, удостоверяющий личность. Если заявление подает представитель, то помимо прочего, нужен еще и его паспорт и доверенность. В случае направления запроса по почте прилагаемые к нему документы направляются в виде заверенных копий.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Подать запрос можно не только в территориальный орган ПФР, но и в МФЦ. Никаких дополнительных документов подавать при этом не нужно.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Предусмотрена возможность направить электронный запрос. Сделать это можно двумя способами: либо через "Личный кабинет застрахованного лица" на сайте ПФР, либо через Единый портал госуслуг.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лицевом счете предоставляются территориальными органами ПФР в течение 10 дней со дня подачи запроса. Если подавать запрос электронно, то ответ придет гораздо быстрее – в режиме реального времени.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5" w:anchor="ixzz5r38JXrJu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http://www.garant.ru/news/1276994/#ixzz5r38JXrJu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Юрлицам, владеющим участками для ведения ЛПХ, земельный налог придется платить по обычной ставке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Минфин России выпустил письмо, разъясняющее порядок применения пониженной ставки земельного налога в отношении земельных участков, приобретенных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(предоставленных) для личного подсобного хозяйства, садоводства и огородничества (письмо Минфина России от 6 июня 2019 г. № 03-05-04-02/415001).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общему правилу для вышеуказанных участков установлена пониженная предельная налоговая ставка по земельному налогу в размере 0,3% кадастровой стоимости. По сложившейся судебной практике, для применения такой ставки необходимо учитывать не только категорию земель и вид разрешенного использования земельного участка, но и целевой характер использования таких земель.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установлено, что подсобное хозяйство ведется гражданином и членами его семьи в целях удовлетворения личных потребностей на земельном участке, предоставленном или приобретенном для таких целей (п. 2 ст. 2 Федерального закона от 7 июля 2003 г. № 112-ФЗ "О личном подсобном хозяйстве"). Такое же правило действует и в отношении участков для садоводства и огородничества (ст. 1 Федерального закона от 15 апреля 1998 г. № 66-ФЗ, ст. 3 Федерального закона от 29 июля 2017 г. № 217-ФЗ).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Пониженные ставки применяются некоммерческими организациями и физлицами, непосредственно использующими земельные участки в личных, а не в коммерческих целях. Если же организации используют их не по прямому назначению (например для перепродажи), то в этом случае применяются обычные ставки, устанавливаемые муниципальными органами и не превышающие 1,5% кадастровой стоимости. Такой позиции придерживаются и суды (решение ВАС РФ от 11 марта 2013 г. № ВАС-17640/12, определение ВС РФ от 20 июня 2018 г. № 301-КГ18-7425).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НК РФ уже внесены соответствующие изменения, но вступят в силу они только в 2020 году (Федеральный закон от 15 апреля 2019 г. № 63-ФЗ). До тех же пор налоговое ведомство рекомендует в этом вопросе руководствоваться сложившейся судебной практикой.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6" w:anchor="ixzz5r3BhFGc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http://www.garant.ru/news/1277118/#ixzz5r3BhFGc3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Разработан порядок обезличивания информации в ГИС мониторинга за оборотом маркированных товаров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Минпромторг России вынес проект соответствующего приказа на общественное обсуждение (оно продлится до 25 июня). Обезличивание планируется проводить с целью защиты сведений от несанкционированного использования с одновременным сохранением возможности их дальнейшей обработки.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приказа предусмотрено обезличивание сведений о (об):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участниках оборота товаров (включая наименование юрлица или Ф. И. О. ИП, тип участника, его адрес, ИНН);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потребителях товаров, зарегистрированных в информационной системе мониторинга и выявивших нарушения требований об обязательной маркировке (Ф. И. О., телефон и адрес электронной почты, паспортные данные, дата рождения, место жительства, гражданство, пол);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товарах, в т. ч. о номенклатуре и информации, указанной на упаковке;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средствах идентификации, нанесенных на товары;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технических средствах, используемых участниками оборота товаров для обмена информацией с информационной системой мониторинга;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нарушениях требований об обязательной маркировке товаров средствами идентификации, выявленных потребителями;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обороте товаров, подлежащих обязательной маркировке средствами идентификации, за исключением сведений о месте реализации таких товаров;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месте реализации товаров, подлежащих обязательной маркировке средствами идентификации;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привлечении к ответственности лиц за нарушения требований об обязательной маркировке товаров средствами идентификации, выявленных потребителями этих товаров.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подлежащих обезличиванию сведений включена информация из электронных универсальных передаточных документов с данными о товарах и сведения из кассовых чеков и бланков строгой отчетности с данными о продажах товаров и иных документов, подтверждающих вывод таких товаров из оборота.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Определены требования к результату обезличивания сведений – полученные таким образом данные должны одновременно отвечать требованиям полноты, структурированности, релевантности, семантической целостности, применимости и анонимности. Конкретизирована последовательность действий в процессе обезличивания и указаны методы обезличивания сведений (метод введения идентификаторов и метод изменения состава или семантики).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7" w:anchor="ixzz5r3V8Rxc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http://www.garant.ru/news/1277014/#ixzz5r3V8Rxc8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Оплатить налоги можно теперь в МФЦ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ФНС России уведомляет налогоплательщиков, что теперь уплачивать налоги и взносы можно в МФЦ (письмо ФНС России от 11 июня 2019 г. № БС-4-21/11333@1, далее – письмо). На прошлой неделе было опубликовано постановление Правительства РФ от 5 июня 2019 г. № 725 "О внесении изменений в Правила организации деятельности многофункциональных центров предоставления государственных и муниципальных услуг", которое вступает в силу 19 июня 2019 года, предусматривающее два варианта оплаты – наличными деньгами сотрудникам центра, которые в свою очередь в течение пяти дней зачисляют их на счет в банке, а также платежной картой через электронный терминал.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изменения направлены на решение проблем с оплатой налоговых платежей, в т. ч. в рамках исполнения налоговых уведомлений. Большинство трудностей возникает прежде всего там, где кредитные организации находятся далеко от МФЦ и мест преимущественного пребывания граждан. При использовании такого способа оплаты налоговых платежей не придется оплачивать комиссионные расходы за банковские операции.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8" w:anchor="ixzz5r3DD6M5Z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http://www.garant.ru/news/1277127/#ixzz5r3DD6M5Z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Разработан порядок организации системы электронного документооборота в сфере охраны здоровья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Минздрав России вынес на общественное обсуждение (оно продлится до 27 июня) проект приказа, регламентирующего соответствующие правила, включая требования к формату электронного медицинского документа, его структуре и визуализации, порядку хранения электронных медицинских документов и доступа к ним.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Проектом при ведении системы документооборота в сфере охраны здоровья допускается формирование медицинской документации, включая учетную и отчетную документацию, в форме электронных документов, подписанных усиленной квалифицированной электронной подписью. Речь идет о документах, содержащих информацию в электронной форме об оказании медпомощи или о проведении медицинской экспертизы, медосмотра или медосвидетельствования.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подписания электронного медицинского документа должны использоваться электронные подписи медработников, сведения о которых внесены в Федеральный регистр медицинских работников единой государственной информационной системы в сфере здравоохранения, при условии регистрации соответствующих медицинских организаций в Федеральном реестре медицинских организаций единой системы. При этом визуальный образ электронного медицинского документа должен содержать: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медицинской организации;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гражданина – получателя медуслуги;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электронного медицинского документа;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дату составления документа;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должности лица, ответственного за формирование электронного медицинского документа;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электронной подписи, которой был подписан электронный медицинский документ (отметка об электронной подписи).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хранения электронных медицинских документов не должны быть меньше сроков хранения соответствующих медицинских документов на бумажном носителе. Что касается доступа к электронным медицинским документам, то его планируется предоставлять гражданам посредством Единого портала госуслуг с использованием единой государственной информационной системы в сфере здравоохранения, а также посредством иных информационных систем в сфере здравоохранения.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приказа будет способствовать выполнению мероприятий, направленных на реализацию качественной информационной поддержки деятельности врачей и медработников при оказании медицинской помощи, взаимодействие в цифровом формате участников системы здравоохранения в целях организации электронных услуг и сервисов для граждан.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19" w:anchor="ixzz5r3WCxYzZ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http://www.garant.ru/news/1277126/#ixzz5r3WCxYzZ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Опубликован проект нового федерального стандарта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Минфин России разработал проект федерального стандарта бухгалтерского учета "Бухгалтерская отчетность организации" (далее – Стандарт)1. Напомним, что приказом Минфина России от 18 апреля 2018 г. № 83н утверждена программа разработки федеральных стандартов бухгалтерского учета на 2018-2020 года. В настоящее время подлежат применению 10 стандартов.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указано, что в Стандарте будет установлен состав, содержание и порядок формирования информации, раскрываемой в бухгалтерской отчетности. Кроме того, там будут образцы форм отчетности (обычной и упрощенной), а также состав приложений к балансу, отчету о финансовых результатах и отчету о целевом использовании средств.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Стандарт будет обязателен к применению юрлицами, доверительными управляющими, а также организациями – товарищами, ведущими общие дела и обеспечивающими обособленный учет операций по совместно осуществляемой деятельности. При составлении последней бухгалтерской отчетности реорганизуемой или ликвидируемой организации применять Стандарт не нужно.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Стандарте указаны требования к бухгалтерской отчетности, такие, как достоверность (предполагает полноту раскрытия, нейтральность информации и отсутствие ошибок), составление на русском языке, обязательное указание данных минимум за два периода – отчетный и аналогичный период, предшествующий отчетному и другие.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касается форм отчетности, то организация самостоятельно их разрабатывает с учетом специфики своей деятельности и утверждает на основе образцов форм, предлагаемых Стандартом. В Стандарте также содержатся основные характеристики и требования, предъявляемые к тому или иному основному отчету, а также к пояснительной записке и промежуточной отчетности.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0" w:anchor="ixzz5r3FkR2hi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http://www.garant.ru/news/1277192/#ixzz5r3FkR2hi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Банк России снизил ключевую ставку до 7,5%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Соответствующее решение регулятор принял сегодня, о чем сообщает пресс-служба Банка России.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ключевая ставка была установлена на уровне 7,75% – такой ее размер действовал полгода (с 17 декабря 2018 года). Теперь же начиная с 17 июня (понедельник) ключевая ставка будет снижена на 0,25% – до 7,5% годовых. Такое уменьшение стало возможным в связи с продолжением замедления годовой инфляции, смягчением денежно-кредитных условий и снижением краткосрочных проинфляционных рисков.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1" w:anchor="ixzz5r3IvpqIx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http://www.garant.ru/news/1277131/#ixzz5r3IvpqIx</w:t>
        </w:r>
      </w:hyperlink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Росреестр напомнил, какие сделки с долями в праве общей собственности на недвижимость скоро не нужно будет удостоверять у нотариуса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июня 2019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Ведомство напомнило, что 1 мая 2019 года был подписан федеральный закон, которым помимо прочего внесены изменения в ст. 42 Федерального закона от 13 июля 2015 г. № 218-ФЗ "О государственной регистрации недвижимости" (информация Росреестра от 10 июня 2019 г.).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поправкам с 31 июля 2019 года (дата вступления изменений в силу) не требуется нотариальное удостоверение: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сделок при отчуждении или ипотеке всеми участниками долевой собственности своих долей по одной сделке;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7C45FE" w:rsidRDefault="007C45FE" w:rsidP="007C45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ГАРАНТ.РУ: </w:t>
      </w:r>
      <w:hyperlink r:id="rId22" w:anchor="ixzz5r3TXKWke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http://www.garant.ru/news/1277156/#ixzz5r3TXKWke</w:t>
        </w:r>
      </w:hyperlink>
    </w:p>
    <w:p w:rsidR="001246C5" w:rsidRDefault="001246C5">
      <w:bookmarkStart w:id="0" w:name="_GoBack"/>
      <w:bookmarkEnd w:id="0"/>
    </w:p>
    <w:sectPr w:rsidR="0012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9"/>
    <w:rsid w:val="001246C5"/>
    <w:rsid w:val="00355709"/>
    <w:rsid w:val="007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CA87-40F8-49C7-91DD-4E1B059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F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89300effb84a59912210b23abe10a68f/" TargetMode="External"/><Relationship Id="rId13" Type="http://schemas.openxmlformats.org/officeDocument/2006/relationships/hyperlink" Target="http://www.garant.ru/news/1276677/" TargetMode="External"/><Relationship Id="rId18" Type="http://schemas.openxmlformats.org/officeDocument/2006/relationships/hyperlink" Target="http://www.garant.ru/news/12771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news/1277131/" TargetMode="External"/><Relationship Id="rId7" Type="http://schemas.openxmlformats.org/officeDocument/2006/relationships/hyperlink" Target="http://base.garant.ru/72106536/" TargetMode="External"/><Relationship Id="rId12" Type="http://schemas.openxmlformats.org/officeDocument/2006/relationships/hyperlink" Target="http://www.garant.ru/news/1276552/" TargetMode="External"/><Relationship Id="rId17" Type="http://schemas.openxmlformats.org/officeDocument/2006/relationships/hyperlink" Target="http://www.garant.ru/news/12770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news/1277118/" TargetMode="External"/><Relationship Id="rId20" Type="http://schemas.openxmlformats.org/officeDocument/2006/relationships/hyperlink" Target="http://www.garant.ru/news/12771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news/1276362/" TargetMode="External"/><Relationship Id="rId11" Type="http://schemas.openxmlformats.org/officeDocument/2006/relationships/hyperlink" Target="http://www.garant.ru/news/127665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news/1276403/" TargetMode="External"/><Relationship Id="rId15" Type="http://schemas.openxmlformats.org/officeDocument/2006/relationships/hyperlink" Target="http://www.garant.ru/news/12769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news/1276413/" TargetMode="External"/><Relationship Id="rId19" Type="http://schemas.openxmlformats.org/officeDocument/2006/relationships/hyperlink" Target="http://www.garant.ru/news/1277126/" TargetMode="External"/><Relationship Id="rId4" Type="http://schemas.openxmlformats.org/officeDocument/2006/relationships/hyperlink" Target="http://www.garant.ru/news/1276518/" TargetMode="External"/><Relationship Id="rId9" Type="http://schemas.openxmlformats.org/officeDocument/2006/relationships/hyperlink" Target="http://base.garant.ru/70650726/2cb9bddea07f9dfceecebba9d5bb6391/" TargetMode="External"/><Relationship Id="rId14" Type="http://schemas.openxmlformats.org/officeDocument/2006/relationships/hyperlink" Target="http://www.garant.ru/news/1277128/" TargetMode="External"/><Relationship Id="rId22" Type="http://schemas.openxmlformats.org/officeDocument/2006/relationships/hyperlink" Target="http://www.garant.ru/news/1277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4730</Words>
  <Characters>26966</Characters>
  <Application>Microsoft Office Word</Application>
  <DocSecurity>0</DocSecurity>
  <Lines>224</Lines>
  <Paragraphs>63</Paragraphs>
  <ScaleCrop>false</ScaleCrop>
  <Company/>
  <LinksUpToDate>false</LinksUpToDate>
  <CharactersWithSpaces>31633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2019-06-17T05:39:00Z</dcterms:created>
  <dcterms:modified xsi:type="dcterms:W3CDTF">2019-06-17T05:40:00Z</dcterms:modified>
</cp:coreProperties>
</file>